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22CED" w14:textId="77777777" w:rsidR="00C4315F" w:rsidRDefault="00C4315F" w:rsidP="00C4315F"/>
    <w:tbl>
      <w:tblPr>
        <w:tblpPr w:leftFromText="180" w:rightFromText="180" w:vertAnchor="page" w:horzAnchor="margin" w:tblpX="-180" w:tblpY="220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830"/>
      </w:tblGrid>
      <w:tr w:rsidR="00C4315F" w:rsidRPr="00E8586F" w14:paraId="0153EC6E" w14:textId="77777777" w:rsidTr="00C4315F">
        <w:trPr>
          <w:trHeight w:val="288"/>
        </w:trPr>
        <w:tc>
          <w:tcPr>
            <w:tcW w:w="1980" w:type="dxa"/>
          </w:tcPr>
          <w:p w14:paraId="141C036E" w14:textId="77777777" w:rsidR="00C4315F" w:rsidRPr="00E8586F" w:rsidRDefault="00C4315F" w:rsidP="00C4315F">
            <w:pPr>
              <w:pStyle w:val="bluehead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586F">
              <w:rPr>
                <w:rFonts w:asciiTheme="minorHAnsi" w:hAnsiTheme="minorHAnsi" w:cstheme="minorHAnsi"/>
                <w:sz w:val="24"/>
                <w:szCs w:val="24"/>
              </w:rPr>
              <w:t>From:</w:t>
            </w:r>
          </w:p>
        </w:tc>
        <w:tc>
          <w:tcPr>
            <w:tcW w:w="7830" w:type="dxa"/>
          </w:tcPr>
          <w:p w14:paraId="11BC56A0" w14:textId="4FCF4EB4" w:rsidR="00C4315F" w:rsidRPr="00E8586F" w:rsidRDefault="00C4315F" w:rsidP="00C4315F">
            <w:pPr>
              <w:pStyle w:val="tabletext"/>
              <w:spacing w:line="240" w:lineRule="auto"/>
              <w:ind w:left="101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bkmkFrom"/>
            <w:bookmarkEnd w:id="0"/>
            <w:r w:rsidRPr="00E8586F">
              <w:rPr>
                <w:rFonts w:asciiTheme="minorHAnsi" w:hAnsiTheme="minorHAnsi" w:cstheme="minorHAnsi"/>
                <w:bCs/>
                <w:sz w:val="24"/>
                <w:szCs w:val="24"/>
              </w:rPr>
              <w:t>Staff and CH2M</w:t>
            </w:r>
            <w:r w:rsidR="00E8586F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Pr="00E8586F">
              <w:rPr>
                <w:rFonts w:asciiTheme="minorHAnsi" w:hAnsiTheme="minorHAnsi" w:cstheme="minorHAnsi"/>
                <w:bCs/>
                <w:sz w:val="24"/>
                <w:szCs w:val="24"/>
              </w:rPr>
              <w:t>Jacobs</w:t>
            </w:r>
            <w:r w:rsidR="00E8586F" w:rsidRPr="00E858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</w:t>
            </w:r>
            <w:r w:rsidRPr="00E858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Rob Thomson, Mark Oliver and </w:t>
            </w:r>
            <w:proofErr w:type="spellStart"/>
            <w:r w:rsidRPr="00E8586F">
              <w:rPr>
                <w:rFonts w:asciiTheme="minorHAnsi" w:hAnsiTheme="minorHAnsi" w:cstheme="minorHAnsi"/>
                <w:bCs/>
                <w:sz w:val="24"/>
                <w:szCs w:val="24"/>
              </w:rPr>
              <w:t>Lyna</w:t>
            </w:r>
            <w:proofErr w:type="spellEnd"/>
            <w:r w:rsidRPr="00E858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Black</w:t>
            </w:r>
            <w:r w:rsidR="00E8586F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</w:tr>
      <w:tr w:rsidR="00670578" w:rsidRPr="00E8586F" w14:paraId="4C833A3C" w14:textId="77777777" w:rsidTr="00C4315F">
        <w:trPr>
          <w:trHeight w:val="288"/>
        </w:trPr>
        <w:tc>
          <w:tcPr>
            <w:tcW w:w="1980" w:type="dxa"/>
          </w:tcPr>
          <w:p w14:paraId="49EE1620" w14:textId="2360010C" w:rsidR="00670578" w:rsidRPr="00E8586F" w:rsidRDefault="00670578" w:rsidP="00C4315F">
            <w:pPr>
              <w:pStyle w:val="bluehead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To:</w:t>
            </w:r>
          </w:p>
        </w:tc>
        <w:tc>
          <w:tcPr>
            <w:tcW w:w="7830" w:type="dxa"/>
          </w:tcPr>
          <w:p w14:paraId="4DD3AC3B" w14:textId="18F28B9D" w:rsidR="00670578" w:rsidRPr="00E8586F" w:rsidRDefault="00670578" w:rsidP="00C4315F">
            <w:pPr>
              <w:pStyle w:val="tabletext"/>
              <w:spacing w:line="240" w:lineRule="auto"/>
              <w:ind w:left="10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Sites Authority Board</w:t>
            </w:r>
          </w:p>
        </w:tc>
      </w:tr>
      <w:tr w:rsidR="00C4315F" w:rsidRPr="00E8586F" w14:paraId="7916A356" w14:textId="77777777" w:rsidTr="00C4315F">
        <w:trPr>
          <w:trHeight w:val="288"/>
        </w:trPr>
        <w:tc>
          <w:tcPr>
            <w:tcW w:w="1980" w:type="dxa"/>
          </w:tcPr>
          <w:p w14:paraId="0BA1E333" w14:textId="77777777" w:rsidR="00C4315F" w:rsidRPr="00E8586F" w:rsidRDefault="00C4315F" w:rsidP="00C4315F">
            <w:pPr>
              <w:pStyle w:val="bluehead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586F">
              <w:rPr>
                <w:rFonts w:asciiTheme="minorHAnsi" w:hAnsiTheme="minorHAnsi" w:cstheme="minorHAnsi"/>
                <w:sz w:val="24"/>
                <w:szCs w:val="24"/>
              </w:rPr>
              <w:t>Subject:</w:t>
            </w:r>
          </w:p>
        </w:tc>
        <w:tc>
          <w:tcPr>
            <w:tcW w:w="7830" w:type="dxa"/>
          </w:tcPr>
          <w:p w14:paraId="5C95C796" w14:textId="77777777" w:rsidR="00C4315F" w:rsidRPr="00E8586F" w:rsidRDefault="00C4315F" w:rsidP="00C4315F">
            <w:pPr>
              <w:pStyle w:val="tabletext"/>
              <w:spacing w:line="240" w:lineRule="auto"/>
              <w:ind w:lef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E8586F">
              <w:rPr>
                <w:rFonts w:asciiTheme="minorHAnsi" w:hAnsiTheme="minorHAnsi" w:cstheme="minorHAnsi"/>
                <w:sz w:val="24"/>
                <w:szCs w:val="24"/>
              </w:rPr>
              <w:t>Report to the Reservoir Committee – Comments on the Draft EIR/S</w:t>
            </w:r>
          </w:p>
        </w:tc>
      </w:tr>
      <w:tr w:rsidR="00C4315F" w:rsidRPr="00E8586F" w14:paraId="56C377DE" w14:textId="77777777" w:rsidTr="00C4315F">
        <w:trPr>
          <w:trHeight w:val="288"/>
        </w:trPr>
        <w:tc>
          <w:tcPr>
            <w:tcW w:w="1980" w:type="dxa"/>
          </w:tcPr>
          <w:p w14:paraId="74851AAB" w14:textId="77777777" w:rsidR="00C4315F" w:rsidRPr="00E8586F" w:rsidRDefault="00C4315F" w:rsidP="00C4315F">
            <w:pPr>
              <w:pStyle w:val="bluehead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586F">
              <w:rPr>
                <w:rFonts w:asciiTheme="minorHAnsi" w:hAnsiTheme="minorHAnsi" w:cstheme="minorHAnsi"/>
                <w:sz w:val="24"/>
                <w:szCs w:val="24"/>
              </w:rPr>
              <w:t>Meeting:</w:t>
            </w:r>
          </w:p>
        </w:tc>
        <w:tc>
          <w:tcPr>
            <w:tcW w:w="7830" w:type="dxa"/>
          </w:tcPr>
          <w:p w14:paraId="315CF8D9" w14:textId="77777777" w:rsidR="00C4315F" w:rsidRPr="00E8586F" w:rsidRDefault="00C4315F" w:rsidP="00C4315F">
            <w:pPr>
              <w:pStyle w:val="tabletext"/>
              <w:spacing w:line="240" w:lineRule="auto"/>
              <w:ind w:lef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E8586F">
              <w:rPr>
                <w:rFonts w:asciiTheme="minorHAnsi" w:hAnsiTheme="minorHAnsi" w:cstheme="minorHAnsi"/>
                <w:sz w:val="24"/>
                <w:szCs w:val="24"/>
              </w:rPr>
              <w:t>Phase 1 Reservoir Committee Meeting - February 15, 2018</w:t>
            </w:r>
          </w:p>
        </w:tc>
      </w:tr>
    </w:tbl>
    <w:p w14:paraId="6014B158" w14:textId="002020AE" w:rsidR="00C4315F" w:rsidRPr="00E8586F" w:rsidRDefault="00C4315F" w:rsidP="00E8586F">
      <w:pPr>
        <w:pStyle w:val="ListParagraph"/>
        <w:numPr>
          <w:ilvl w:val="0"/>
          <w:numId w:val="1"/>
        </w:numPr>
        <w:spacing w:before="120" w:after="120"/>
        <w:ind w:left="360" w:hanging="540"/>
        <w:contextualSpacing w:val="0"/>
        <w:jc w:val="both"/>
      </w:pPr>
      <w:r w:rsidRPr="00E8586F">
        <w:t xml:space="preserve">Received </w:t>
      </w:r>
      <w:proofErr w:type="gramStart"/>
      <w:r w:rsidRPr="00E8586F">
        <w:t>additional</w:t>
      </w:r>
      <w:proofErr w:type="gramEnd"/>
      <w:r w:rsidRPr="00E8586F">
        <w:t xml:space="preserve"> agency and public comments from an additional two individuals. A petition has received </w:t>
      </w:r>
      <w:proofErr w:type="gramStart"/>
      <w:r w:rsidRPr="00E8586F">
        <w:t>additional</w:t>
      </w:r>
      <w:proofErr w:type="gramEnd"/>
      <w:r w:rsidRPr="00E8586F">
        <w:t xml:space="preserve"> signees totaling 1,001 signees as of February 8, 2018. The table below summarizes commenters by affiliation. USFWS has notified the Authority their input will </w:t>
      </w:r>
      <w:proofErr w:type="gramStart"/>
      <w:r w:rsidRPr="00E8586F">
        <w:t>be provided</w:t>
      </w:r>
      <w:proofErr w:type="gramEnd"/>
      <w:r w:rsidRPr="00E8586F">
        <w:t xml:space="preserve"> through their Fish and Wildlife Coordination Act report.</w:t>
      </w:r>
    </w:p>
    <w:p w14:paraId="14E45683" w14:textId="77777777" w:rsidR="00C4315F" w:rsidRPr="00E8586F" w:rsidRDefault="00C4315F" w:rsidP="00E8586F">
      <w:pPr>
        <w:pStyle w:val="ListParagraph"/>
        <w:numPr>
          <w:ilvl w:val="0"/>
          <w:numId w:val="1"/>
        </w:numPr>
        <w:spacing w:before="120" w:after="120"/>
        <w:ind w:left="360" w:hanging="540"/>
        <w:contextualSpacing w:val="0"/>
        <w:jc w:val="both"/>
      </w:pPr>
      <w:r w:rsidRPr="00E8586F">
        <w:t xml:space="preserve">Continuing working through categorizing letters and </w:t>
      </w:r>
      <w:proofErr w:type="gramStart"/>
      <w:r w:rsidRPr="00E8586F">
        <w:t>identifying</w:t>
      </w:r>
      <w:proofErr w:type="gramEnd"/>
      <w:r w:rsidRPr="00E8586F">
        <w:t xml:space="preserve"> comments to support development of comment/response matrix.</w:t>
      </w:r>
    </w:p>
    <w:p w14:paraId="16D79564" w14:textId="77777777" w:rsidR="00C4315F" w:rsidRPr="00E8586F" w:rsidRDefault="00C4315F" w:rsidP="00E8586F">
      <w:pPr>
        <w:pStyle w:val="ListParagraph"/>
        <w:numPr>
          <w:ilvl w:val="0"/>
          <w:numId w:val="1"/>
        </w:numPr>
        <w:spacing w:before="120" w:after="120"/>
        <w:ind w:left="360" w:hanging="540"/>
        <w:contextualSpacing w:val="0"/>
        <w:jc w:val="both"/>
      </w:pPr>
      <w:r w:rsidRPr="00E8586F">
        <w:t xml:space="preserve">Categorizing primary comments across letters to </w:t>
      </w:r>
      <w:proofErr w:type="gramStart"/>
      <w:r w:rsidRPr="00E8586F">
        <w:t>identify</w:t>
      </w:r>
      <w:proofErr w:type="gramEnd"/>
      <w:r w:rsidRPr="00E8586F">
        <w:t xml:space="preserve"> potential thematic response categories, as well as response approaches and potential need for additional analyses. Initial themes include:</w:t>
      </w:r>
    </w:p>
    <w:p w14:paraId="678AE0D6" w14:textId="77777777" w:rsidR="00C4315F" w:rsidRPr="00E8586F" w:rsidRDefault="00C4315F" w:rsidP="00E8586F">
      <w:pPr>
        <w:pStyle w:val="ListParagraph"/>
        <w:numPr>
          <w:ilvl w:val="1"/>
          <w:numId w:val="1"/>
        </w:numPr>
        <w:spacing w:before="120" w:after="120"/>
        <w:ind w:left="810" w:hanging="450"/>
        <w:contextualSpacing w:val="0"/>
        <w:jc w:val="both"/>
      </w:pPr>
      <w:r w:rsidRPr="00E8586F">
        <w:t>Range of alternatives</w:t>
      </w:r>
    </w:p>
    <w:p w14:paraId="55E064D5" w14:textId="77777777" w:rsidR="00C4315F" w:rsidRPr="00E8586F" w:rsidRDefault="00C4315F" w:rsidP="00E8586F">
      <w:pPr>
        <w:pStyle w:val="ListParagraph"/>
        <w:numPr>
          <w:ilvl w:val="1"/>
          <w:numId w:val="1"/>
        </w:numPr>
        <w:spacing w:before="120" w:after="120"/>
        <w:ind w:left="810" w:hanging="450"/>
        <w:contextualSpacing w:val="0"/>
        <w:jc w:val="both"/>
      </w:pPr>
      <w:r w:rsidRPr="00E8586F">
        <w:t>Operational approach and bypass/weir flows</w:t>
      </w:r>
    </w:p>
    <w:p w14:paraId="1C891938" w14:textId="77777777" w:rsidR="00C4315F" w:rsidRPr="00E8586F" w:rsidRDefault="00C4315F" w:rsidP="00E8586F">
      <w:pPr>
        <w:pStyle w:val="ListParagraph"/>
        <w:numPr>
          <w:ilvl w:val="1"/>
          <w:numId w:val="1"/>
        </w:numPr>
        <w:spacing w:before="120" w:after="120"/>
        <w:ind w:left="810" w:hanging="450"/>
        <w:contextualSpacing w:val="0"/>
        <w:jc w:val="both"/>
      </w:pPr>
      <w:r w:rsidRPr="00E8586F">
        <w:t>Tribal/cultural resources</w:t>
      </w:r>
    </w:p>
    <w:p w14:paraId="52994B04" w14:textId="77777777" w:rsidR="00C4315F" w:rsidRPr="00E8586F" w:rsidRDefault="00C4315F" w:rsidP="00E8586F">
      <w:pPr>
        <w:pStyle w:val="ListParagraph"/>
        <w:numPr>
          <w:ilvl w:val="1"/>
          <w:numId w:val="1"/>
        </w:numPr>
        <w:spacing w:before="120" w:after="120"/>
        <w:ind w:left="810" w:hanging="450"/>
        <w:contextualSpacing w:val="0"/>
        <w:jc w:val="both"/>
      </w:pPr>
      <w:r w:rsidRPr="00E8586F">
        <w:t>Water quality impacts</w:t>
      </w:r>
    </w:p>
    <w:p w14:paraId="5DDFB1D7" w14:textId="77777777" w:rsidR="00C4315F" w:rsidRPr="00E8586F" w:rsidRDefault="00C4315F" w:rsidP="00E8586F">
      <w:pPr>
        <w:pStyle w:val="ListParagraph"/>
        <w:numPr>
          <w:ilvl w:val="1"/>
          <w:numId w:val="1"/>
        </w:numPr>
        <w:spacing w:before="120" w:after="120"/>
        <w:ind w:left="810" w:hanging="450"/>
        <w:contextualSpacing w:val="0"/>
        <w:jc w:val="both"/>
      </w:pPr>
      <w:r w:rsidRPr="00E8586F">
        <w:t>Delta species/flow effects</w:t>
      </w:r>
    </w:p>
    <w:p w14:paraId="69B679B1" w14:textId="77777777" w:rsidR="00C4315F" w:rsidRPr="00E8586F" w:rsidRDefault="00C4315F" w:rsidP="00E8586F">
      <w:pPr>
        <w:pStyle w:val="ListParagraph"/>
        <w:numPr>
          <w:ilvl w:val="1"/>
          <w:numId w:val="1"/>
        </w:numPr>
        <w:spacing w:before="120" w:after="120"/>
        <w:ind w:left="810" w:hanging="450"/>
        <w:contextualSpacing w:val="0"/>
        <w:jc w:val="both"/>
      </w:pPr>
      <w:r w:rsidRPr="00E8586F">
        <w:t>Baseline assumptions and climate change</w:t>
      </w:r>
    </w:p>
    <w:p w14:paraId="18676D6B" w14:textId="77777777" w:rsidR="00C4315F" w:rsidRPr="00E8586F" w:rsidRDefault="00C4315F" w:rsidP="00E8586F">
      <w:pPr>
        <w:pStyle w:val="ListParagraph"/>
        <w:numPr>
          <w:ilvl w:val="0"/>
          <w:numId w:val="1"/>
        </w:numPr>
        <w:spacing w:before="120" w:after="120"/>
        <w:ind w:left="360" w:hanging="540"/>
        <w:contextualSpacing w:val="0"/>
        <w:jc w:val="both"/>
      </w:pPr>
      <w:r w:rsidRPr="00E8586F">
        <w:t>Developing summary memo in coordination with Reclamation for federal coordination purposes summarizing comments and proposed response approaches</w:t>
      </w:r>
    </w:p>
    <w:p w14:paraId="52DD6DD9" w14:textId="77777777" w:rsidR="00C4315F" w:rsidRPr="00E8586F" w:rsidRDefault="00C4315F" w:rsidP="00E8586F">
      <w:pPr>
        <w:pStyle w:val="ListParagraph"/>
        <w:numPr>
          <w:ilvl w:val="0"/>
          <w:numId w:val="1"/>
        </w:numPr>
        <w:spacing w:before="120" w:after="120"/>
        <w:ind w:left="360" w:hanging="540"/>
        <w:contextualSpacing w:val="0"/>
        <w:jc w:val="both"/>
      </w:pPr>
      <w:r w:rsidRPr="00E8586F">
        <w:t xml:space="preserve">Summary presentation to be provided at next meeting and </w:t>
      </w:r>
      <w:proofErr w:type="gramStart"/>
      <w:r w:rsidRPr="00E8586F">
        <w:t>subsequent</w:t>
      </w:r>
      <w:proofErr w:type="gramEnd"/>
      <w:r w:rsidRPr="00E8586F">
        <w:t xml:space="preserve"> Authority board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C4315F" w:rsidRPr="00E8586F" w14:paraId="1A02E0A5" w14:textId="77777777" w:rsidTr="00611E28">
        <w:tc>
          <w:tcPr>
            <w:tcW w:w="4775" w:type="dxa"/>
          </w:tcPr>
          <w:p w14:paraId="13CBFEB8" w14:textId="77777777" w:rsidR="00C4315F" w:rsidRPr="00E8586F" w:rsidRDefault="00C4315F" w:rsidP="00E8586F">
            <w:pPr>
              <w:spacing w:after="120"/>
              <w:jc w:val="both"/>
              <w:rPr>
                <w:b/>
                <w:i/>
              </w:rPr>
            </w:pPr>
            <w:r w:rsidRPr="00E8586F">
              <w:rPr>
                <w:b/>
                <w:i/>
              </w:rPr>
              <w:t>Commenter Affiliation</w:t>
            </w:r>
          </w:p>
        </w:tc>
        <w:tc>
          <w:tcPr>
            <w:tcW w:w="4775" w:type="dxa"/>
          </w:tcPr>
          <w:p w14:paraId="13F78701" w14:textId="77777777" w:rsidR="00C4315F" w:rsidRPr="00E8586F" w:rsidRDefault="00C4315F" w:rsidP="00E8586F">
            <w:pPr>
              <w:spacing w:after="120"/>
              <w:jc w:val="both"/>
              <w:rPr>
                <w:b/>
                <w:i/>
              </w:rPr>
            </w:pPr>
            <w:r w:rsidRPr="00E8586F">
              <w:rPr>
                <w:b/>
                <w:i/>
              </w:rPr>
              <w:t>Number of commenters</w:t>
            </w:r>
          </w:p>
        </w:tc>
      </w:tr>
      <w:tr w:rsidR="00C4315F" w:rsidRPr="00E8586F" w14:paraId="13872086" w14:textId="77777777" w:rsidTr="00611E28">
        <w:tc>
          <w:tcPr>
            <w:tcW w:w="4775" w:type="dxa"/>
          </w:tcPr>
          <w:p w14:paraId="7B70E504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 xml:space="preserve">Federal </w:t>
            </w:r>
          </w:p>
        </w:tc>
        <w:tc>
          <w:tcPr>
            <w:tcW w:w="4775" w:type="dxa"/>
          </w:tcPr>
          <w:p w14:paraId="350ECACE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>3</w:t>
            </w:r>
          </w:p>
        </w:tc>
      </w:tr>
      <w:tr w:rsidR="00C4315F" w:rsidRPr="00E8586F" w14:paraId="5E7F58CB" w14:textId="77777777" w:rsidTr="00611E28">
        <w:tc>
          <w:tcPr>
            <w:tcW w:w="4775" w:type="dxa"/>
          </w:tcPr>
          <w:p w14:paraId="41F7666F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>State</w:t>
            </w:r>
          </w:p>
        </w:tc>
        <w:tc>
          <w:tcPr>
            <w:tcW w:w="4775" w:type="dxa"/>
          </w:tcPr>
          <w:p w14:paraId="4B217B2D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>6</w:t>
            </w:r>
          </w:p>
        </w:tc>
      </w:tr>
      <w:tr w:rsidR="00C4315F" w:rsidRPr="00E8586F" w14:paraId="11E4BF31" w14:textId="77777777" w:rsidTr="00611E28">
        <w:tc>
          <w:tcPr>
            <w:tcW w:w="4775" w:type="dxa"/>
          </w:tcPr>
          <w:p w14:paraId="567E4FB7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>Tribal</w:t>
            </w:r>
          </w:p>
        </w:tc>
        <w:tc>
          <w:tcPr>
            <w:tcW w:w="4775" w:type="dxa"/>
          </w:tcPr>
          <w:p w14:paraId="46C515DE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>3</w:t>
            </w:r>
          </w:p>
        </w:tc>
      </w:tr>
      <w:tr w:rsidR="00C4315F" w:rsidRPr="00E8586F" w14:paraId="0814603C" w14:textId="77777777" w:rsidTr="00611E28">
        <w:tc>
          <w:tcPr>
            <w:tcW w:w="4775" w:type="dxa"/>
          </w:tcPr>
          <w:p w14:paraId="0F87709A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>Local/Regional</w:t>
            </w:r>
          </w:p>
        </w:tc>
        <w:tc>
          <w:tcPr>
            <w:tcW w:w="4775" w:type="dxa"/>
          </w:tcPr>
          <w:p w14:paraId="59F78774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>12</w:t>
            </w:r>
          </w:p>
        </w:tc>
      </w:tr>
      <w:tr w:rsidR="00C4315F" w:rsidRPr="00E8586F" w14:paraId="725D4AD5" w14:textId="77777777" w:rsidTr="00611E28">
        <w:tc>
          <w:tcPr>
            <w:tcW w:w="4775" w:type="dxa"/>
          </w:tcPr>
          <w:p w14:paraId="10BC9147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>NGO*</w:t>
            </w:r>
          </w:p>
        </w:tc>
        <w:tc>
          <w:tcPr>
            <w:tcW w:w="4775" w:type="dxa"/>
          </w:tcPr>
          <w:p w14:paraId="2D1DFC1A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>10</w:t>
            </w:r>
          </w:p>
        </w:tc>
      </w:tr>
      <w:tr w:rsidR="00C4315F" w:rsidRPr="00E8586F" w14:paraId="5A31DACF" w14:textId="77777777" w:rsidTr="00611E28">
        <w:tc>
          <w:tcPr>
            <w:tcW w:w="4775" w:type="dxa"/>
          </w:tcPr>
          <w:p w14:paraId="000CC1F9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>Individuals**</w:t>
            </w:r>
          </w:p>
        </w:tc>
        <w:tc>
          <w:tcPr>
            <w:tcW w:w="4775" w:type="dxa"/>
          </w:tcPr>
          <w:p w14:paraId="047A12DA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>103</w:t>
            </w:r>
          </w:p>
        </w:tc>
      </w:tr>
      <w:tr w:rsidR="00C4315F" w:rsidRPr="00E8586F" w14:paraId="0C2B5C0F" w14:textId="77777777" w:rsidTr="00611E28">
        <w:tc>
          <w:tcPr>
            <w:tcW w:w="4775" w:type="dxa"/>
            <w:tcBorders>
              <w:bottom w:val="single" w:sz="4" w:space="0" w:color="auto"/>
            </w:tcBorders>
          </w:tcPr>
          <w:p w14:paraId="45A425BD" w14:textId="40659E0E" w:rsidR="00C4315F" w:rsidRPr="00E8586F" w:rsidRDefault="00C4315F" w:rsidP="00E8586F">
            <w:pPr>
              <w:spacing w:after="120"/>
              <w:jc w:val="both"/>
              <w:rPr>
                <w:b/>
              </w:rPr>
            </w:pPr>
            <w:r w:rsidRPr="00E8586F">
              <w:rPr>
                <w:b/>
              </w:rPr>
              <w:t>OTAL COMMENT LETTERS/E-MAILS/PETITION</w:t>
            </w:r>
          </w:p>
        </w:tc>
        <w:tc>
          <w:tcPr>
            <w:tcW w:w="4775" w:type="dxa"/>
            <w:tcBorders>
              <w:bottom w:val="single" w:sz="4" w:space="0" w:color="auto"/>
            </w:tcBorders>
          </w:tcPr>
          <w:p w14:paraId="4548928F" w14:textId="77777777" w:rsidR="00C4315F" w:rsidRPr="00E8586F" w:rsidRDefault="00C4315F" w:rsidP="00E8586F">
            <w:pPr>
              <w:spacing w:after="120"/>
              <w:jc w:val="both"/>
              <w:rPr>
                <w:b/>
              </w:rPr>
            </w:pPr>
            <w:r w:rsidRPr="00E8586F">
              <w:rPr>
                <w:b/>
              </w:rPr>
              <w:fldChar w:fldCharType="begin"/>
            </w:r>
            <w:r w:rsidRPr="00E8586F">
              <w:rPr>
                <w:b/>
              </w:rPr>
              <w:instrText xml:space="preserve"> =SUM(ABOVE) </w:instrText>
            </w:r>
            <w:r w:rsidRPr="00E8586F">
              <w:rPr>
                <w:b/>
              </w:rPr>
              <w:fldChar w:fldCharType="separate"/>
            </w:r>
            <w:r w:rsidRPr="00E8586F">
              <w:rPr>
                <w:b/>
                <w:noProof/>
              </w:rPr>
              <w:t>136</w:t>
            </w:r>
            <w:r w:rsidRPr="00E8586F">
              <w:rPr>
                <w:b/>
              </w:rPr>
              <w:fldChar w:fldCharType="end"/>
            </w:r>
          </w:p>
        </w:tc>
      </w:tr>
      <w:tr w:rsidR="00C4315F" w:rsidRPr="00E8586F" w14:paraId="5A9E917F" w14:textId="77777777" w:rsidTr="00611E28">
        <w:tc>
          <w:tcPr>
            <w:tcW w:w="9550" w:type="dxa"/>
            <w:gridSpan w:val="2"/>
            <w:tcBorders>
              <w:left w:val="nil"/>
              <w:bottom w:val="nil"/>
              <w:right w:val="nil"/>
            </w:tcBorders>
          </w:tcPr>
          <w:p w14:paraId="76775256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>*</w:t>
            </w:r>
            <w:proofErr w:type="gramStart"/>
            <w:r w:rsidRPr="00E8586F">
              <w:t>Some</w:t>
            </w:r>
            <w:proofErr w:type="gramEnd"/>
            <w:r w:rsidRPr="00E8586F">
              <w:t xml:space="preserve"> NGO letters included comments from multiple NGOs</w:t>
            </w:r>
          </w:p>
        </w:tc>
      </w:tr>
      <w:tr w:rsidR="00C4315F" w:rsidRPr="00E8586F" w14:paraId="17F35BE9" w14:textId="77777777" w:rsidTr="00611E28">
        <w:trPr>
          <w:trHeight w:val="222"/>
        </w:trPr>
        <w:tc>
          <w:tcPr>
            <w:tcW w:w="9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0907A" w14:textId="77777777" w:rsidR="00C4315F" w:rsidRPr="00E8586F" w:rsidRDefault="00C4315F" w:rsidP="00E8586F">
            <w:pPr>
              <w:spacing w:after="120"/>
              <w:jc w:val="both"/>
            </w:pPr>
            <w:r w:rsidRPr="00E8586F">
              <w:t xml:space="preserve">** Includes individual petition on Change.com </w:t>
            </w:r>
            <w:proofErr w:type="gramStart"/>
            <w:r w:rsidRPr="00E8586F">
              <w:t>containing</w:t>
            </w:r>
            <w:proofErr w:type="gramEnd"/>
            <w:r w:rsidRPr="00E8586F">
              <w:t xml:space="preserve"> 1001 signees as of 2/8/18</w:t>
            </w:r>
          </w:p>
        </w:tc>
      </w:tr>
    </w:tbl>
    <w:p w14:paraId="3B86D00D" w14:textId="77777777" w:rsidR="00D64553" w:rsidRPr="00E8586F" w:rsidRDefault="00D64553" w:rsidP="00E8586F">
      <w:pPr>
        <w:spacing w:after="120"/>
        <w:jc w:val="both"/>
        <w:rPr>
          <w:sz w:val="22"/>
          <w:szCs w:val="22"/>
        </w:rPr>
      </w:pPr>
    </w:p>
    <w:sectPr w:rsidR="00D64553" w:rsidRPr="00E8586F" w:rsidSect="00E8586F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85DE8" w14:textId="77777777" w:rsidR="00C4315F" w:rsidRDefault="00C4315F" w:rsidP="00C4315F">
      <w:r>
        <w:separator/>
      </w:r>
    </w:p>
  </w:endnote>
  <w:endnote w:type="continuationSeparator" w:id="0">
    <w:p w14:paraId="45EB9A23" w14:textId="77777777" w:rsidR="00C4315F" w:rsidRDefault="00C4315F" w:rsidP="00C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FB813" w14:textId="77777777" w:rsidR="00C4315F" w:rsidRDefault="00C4315F" w:rsidP="00C4315F">
      <w:r>
        <w:separator/>
      </w:r>
    </w:p>
  </w:footnote>
  <w:footnote w:type="continuationSeparator" w:id="0">
    <w:p w14:paraId="18A28757" w14:textId="77777777" w:rsidR="00C4315F" w:rsidRDefault="00C4315F" w:rsidP="00C4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C595F" w14:textId="0867C9EE" w:rsidR="00C4315F" w:rsidRDefault="00C4315F" w:rsidP="00C4315F">
    <w:pPr>
      <w:pStyle w:val="Header"/>
      <w:jc w:val="right"/>
    </w:pPr>
    <w:r>
      <w:rPr>
        <w:noProof/>
      </w:rPr>
      <w:drawing>
        <wp:inline distT="0" distB="0" distL="0" distR="0" wp14:anchorId="20167B70" wp14:editId="198A2805">
          <wp:extent cx="2103120" cy="61849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0A1F9C"/>
    <w:multiLevelType w:val="hybridMultilevel"/>
    <w:tmpl w:val="A6348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F"/>
    <w:rsid w:val="001739A3"/>
    <w:rsid w:val="004A6FB3"/>
    <w:rsid w:val="00670578"/>
    <w:rsid w:val="00C4315F"/>
    <w:rsid w:val="00D63E6B"/>
    <w:rsid w:val="00D64553"/>
    <w:rsid w:val="00E8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E07D8"/>
  <w15:chartTrackingRefBased/>
  <w15:docId w15:val="{162B4426-AC5F-4F09-8116-B96E8C86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5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1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315F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C4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1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3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15F"/>
    <w:rPr>
      <w:sz w:val="24"/>
      <w:szCs w:val="24"/>
    </w:rPr>
  </w:style>
  <w:style w:type="paragraph" w:customStyle="1" w:styleId="blueheader">
    <w:name w:val="blue header"/>
    <w:basedOn w:val="Normal"/>
    <w:qFormat/>
    <w:rsid w:val="00C4315F"/>
    <w:pPr>
      <w:spacing w:before="60" w:after="60" w:line="288" w:lineRule="auto"/>
    </w:pPr>
    <w:rPr>
      <w:rFonts w:ascii="Arial" w:hAnsi="Arial"/>
      <w:b/>
      <w:sz w:val="22"/>
      <w:szCs w:val="22"/>
      <w:lang w:bidi="en-US"/>
    </w:rPr>
  </w:style>
  <w:style w:type="paragraph" w:customStyle="1" w:styleId="tabletext">
    <w:name w:val="table text"/>
    <w:basedOn w:val="Normal"/>
    <w:qFormat/>
    <w:rsid w:val="00C4315F"/>
    <w:pPr>
      <w:spacing w:before="60" w:after="60" w:line="288" w:lineRule="auto"/>
    </w:pPr>
    <w:rPr>
      <w:rFonts w:ascii="Arial" w:hAnsi="Arial"/>
      <w:sz w:val="20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C431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W2DYDCZSR3KP-599401305-18590</_dlc_DocId>
    <_dlc_DocIdUrl xmlns="d9320a93-a9f0-4135-97e0-380ac3311a04">
      <Url>https://sitesreservoirproject.sharepoint.com/EnvPlanning/_layouts/15/DocIdRedir.aspx?ID=W2DYDCZSR3KP-599401305-18590</Url>
      <Description>W2DYDCZSR3KP-599401305-18590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B7F6673E-776E-4730-BB24-00A6D5839DAE}"/>
</file>

<file path=customXml/itemProps2.xml><?xml version="1.0" encoding="utf-8"?>
<ds:datastoreItem xmlns:ds="http://schemas.openxmlformats.org/officeDocument/2006/customXml" ds:itemID="{63697BBF-3B9E-427D-AFE0-57CF4916FBD9}"/>
</file>

<file path=customXml/itemProps3.xml><?xml version="1.0" encoding="utf-8"?>
<ds:datastoreItem xmlns:ds="http://schemas.openxmlformats.org/officeDocument/2006/customXml" ds:itemID="{D93EB1DC-FAFC-43F3-9C1A-DA9492BAAF92}"/>
</file>

<file path=customXml/itemProps4.xml><?xml version="1.0" encoding="utf-8"?>
<ds:datastoreItem xmlns:ds="http://schemas.openxmlformats.org/officeDocument/2006/customXml" ds:itemID="{6A044AD5-5525-4EAA-97F0-D222E1949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Kivett</dc:creator>
  <cp:keywords/>
  <dc:description/>
  <cp:lastModifiedBy>Marcia Kivett</cp:lastModifiedBy>
  <cp:revision>4</cp:revision>
  <dcterms:created xsi:type="dcterms:W3CDTF">2021-01-19T20:34:00Z</dcterms:created>
  <dcterms:modified xsi:type="dcterms:W3CDTF">2021-01-19T21:12:00Z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d65d98f3-269e-4e29-ae25-6a785d80186e</vt:lpwstr>
  </property>
</Properties>
</file>