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C8AF" w14:textId="1C9987D9" w:rsidR="00C93E04" w:rsidRPr="00EC4FE1" w:rsidRDefault="00292321" w:rsidP="004C63EF">
      <w:pPr>
        <w:pStyle w:val="Subtitle"/>
        <w:spacing w:after="0"/>
        <w:ind w:right="2970"/>
        <w:rPr>
          <w:rFonts w:asciiTheme="minorHAnsi" w:hAnsiTheme="minorHAnsi" w:cstheme="minorHAnsi"/>
          <w:b/>
          <w:bCs/>
          <w:i w:val="0"/>
          <w:iCs w:val="0"/>
          <w:sz w:val="40"/>
          <w:szCs w:val="40"/>
        </w:rPr>
      </w:pPr>
      <w:r>
        <w:rPr>
          <w:rFonts w:asciiTheme="minorHAnsi" w:hAnsiTheme="minorHAnsi" w:cstheme="minorHAnsi"/>
          <w:noProof/>
          <w:sz w:val="40"/>
          <w:szCs w:val="40"/>
          <w:lang w:bidi="ar-SA"/>
        </w:rPr>
        <w:drawing>
          <wp:anchor distT="0" distB="0" distL="114300" distR="114300" simplePos="0" relativeHeight="251657216" behindDoc="0" locked="0" layoutInCell="1" allowOverlap="1" wp14:anchorId="1B191A99" wp14:editId="71E50A26">
            <wp:simplePos x="0" y="0"/>
            <wp:positionH relativeFrom="column">
              <wp:posOffset>3848100</wp:posOffset>
            </wp:positionH>
            <wp:positionV relativeFrom="paragraph">
              <wp:posOffset>309880</wp:posOffset>
            </wp:positionV>
            <wp:extent cx="2103120" cy="61903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tes Logo.png"/>
                    <pic:cNvPicPr/>
                  </pic:nvPicPr>
                  <pic:blipFill>
                    <a:blip r:embed="rId12">
                      <a:extLst>
                        <a:ext uri="{28A0092B-C50C-407E-A947-70E740481C1C}">
                          <a14:useLocalDpi xmlns:a14="http://schemas.microsoft.com/office/drawing/2010/main" val="0"/>
                        </a:ext>
                      </a:extLst>
                    </a:blip>
                    <a:stretch>
                      <a:fillRect/>
                    </a:stretch>
                  </pic:blipFill>
                  <pic:spPr>
                    <a:xfrm>
                      <a:off x="0" y="0"/>
                      <a:ext cx="2103120" cy="619033"/>
                    </a:xfrm>
                    <a:prstGeom prst="rect">
                      <a:avLst/>
                    </a:prstGeom>
                  </pic:spPr>
                </pic:pic>
              </a:graphicData>
            </a:graphic>
            <wp14:sizeRelH relativeFrom="page">
              <wp14:pctWidth>0</wp14:pctWidth>
            </wp14:sizeRelH>
            <wp14:sizeRelV relativeFrom="page">
              <wp14:pctHeight>0</wp14:pctHeight>
            </wp14:sizeRelV>
          </wp:anchor>
        </w:drawing>
      </w:r>
      <w:r w:rsidR="001D20FF" w:rsidRPr="004C63EF">
        <w:rPr>
          <w:rFonts w:asciiTheme="minorHAnsi" w:hAnsiTheme="minorHAnsi" w:cstheme="minorHAnsi"/>
          <w:b/>
          <w:bCs/>
          <w:i w:val="0"/>
          <w:iCs w:val="0"/>
          <w:sz w:val="40"/>
          <w:szCs w:val="40"/>
        </w:rPr>
        <w:t xml:space="preserve">Preliminary Evaluation of </w:t>
      </w:r>
      <w:r w:rsidR="004C5349" w:rsidRPr="004C63EF">
        <w:rPr>
          <w:rFonts w:asciiTheme="minorHAnsi" w:hAnsiTheme="minorHAnsi" w:cstheme="minorHAnsi"/>
          <w:b/>
          <w:bCs/>
          <w:i w:val="0"/>
          <w:iCs w:val="0"/>
          <w:sz w:val="40"/>
          <w:szCs w:val="40"/>
        </w:rPr>
        <w:t xml:space="preserve">the Planning Aid Memorandum </w:t>
      </w:r>
    </w:p>
    <w:p w14:paraId="2F2AC8B0" w14:textId="6D03DCC0" w:rsidR="007D6E64" w:rsidRPr="00EC4FE1" w:rsidRDefault="0065221E" w:rsidP="00192A11">
      <w:pPr>
        <w:pStyle w:val="Subtitle"/>
        <w:spacing w:after="0"/>
        <w:rPr>
          <w:rFonts w:asciiTheme="minorHAnsi" w:hAnsiTheme="minorHAnsi" w:cstheme="minorHAnsi"/>
          <w:b/>
          <w:i w:val="0"/>
          <w:sz w:val="40"/>
          <w:szCs w:val="40"/>
        </w:rPr>
      </w:pPr>
      <w:r w:rsidRPr="00EC4FE1">
        <w:rPr>
          <w:rFonts w:asciiTheme="minorHAnsi" w:hAnsiTheme="minorHAnsi" w:cstheme="minorHAnsi"/>
          <w:b/>
          <w:i w:val="0"/>
          <w:sz w:val="40"/>
          <w:szCs w:val="40"/>
        </w:rPr>
        <w:t xml:space="preserve">Technical </w:t>
      </w:r>
      <w:r w:rsidR="009648E6" w:rsidRPr="00EC4FE1">
        <w:rPr>
          <w:rFonts w:asciiTheme="minorHAnsi" w:hAnsiTheme="minorHAnsi" w:cstheme="minorHAnsi"/>
          <w:b/>
          <w:i w:val="0"/>
          <w:sz w:val="40"/>
          <w:szCs w:val="40"/>
        </w:rPr>
        <w:t>Memorandum</w:t>
      </w:r>
    </w:p>
    <w:p w14:paraId="2F2AC8B3" w14:textId="77777777" w:rsidR="0099522A" w:rsidRPr="00EF4D23" w:rsidRDefault="0099522A" w:rsidP="0099522A">
      <w:pPr>
        <w:rPr>
          <w:rFonts w:asciiTheme="minorHAnsi" w:hAnsiTheme="minorHAnsi" w:cstheme="minorHAnsi"/>
          <w:sz w:val="16"/>
          <w:szCs w:val="16"/>
        </w:rPr>
      </w:pPr>
    </w:p>
    <w:tbl>
      <w:tblPr>
        <w:tblW w:w="9360" w:type="dxa"/>
        <w:tblLayout w:type="fixed"/>
        <w:tblCellMar>
          <w:left w:w="0" w:type="dxa"/>
          <w:right w:w="0" w:type="dxa"/>
        </w:tblCellMar>
        <w:tblLook w:val="0000" w:firstRow="0" w:lastRow="0" w:firstColumn="0" w:lastColumn="0" w:noHBand="0" w:noVBand="0"/>
      </w:tblPr>
      <w:tblGrid>
        <w:gridCol w:w="2970"/>
        <w:gridCol w:w="6390"/>
      </w:tblGrid>
      <w:tr w:rsidR="00054F48" w:rsidRPr="00D475DE" w14:paraId="2F2AC8B6" w14:textId="77777777" w:rsidTr="00EF4D23">
        <w:trPr>
          <w:trHeight w:val="288"/>
        </w:trPr>
        <w:tc>
          <w:tcPr>
            <w:tcW w:w="2970" w:type="dxa"/>
            <w:tcBorders>
              <w:top w:val="single" w:sz="4" w:space="0" w:color="auto"/>
            </w:tcBorders>
          </w:tcPr>
          <w:p w14:paraId="2F2AC8B4" w14:textId="77777777" w:rsidR="00054F48" w:rsidRPr="00EC4FE1" w:rsidRDefault="00054F48" w:rsidP="00D35E54">
            <w:pPr>
              <w:pStyle w:val="blueheader"/>
              <w:spacing w:before="60" w:after="60"/>
              <w:rPr>
                <w:rFonts w:asciiTheme="minorHAnsi" w:hAnsiTheme="minorHAnsi" w:cstheme="minorHAnsi"/>
              </w:rPr>
            </w:pPr>
            <w:r w:rsidRPr="00EC4FE1">
              <w:rPr>
                <w:rFonts w:asciiTheme="minorHAnsi" w:hAnsiTheme="minorHAnsi" w:cstheme="minorHAnsi"/>
              </w:rPr>
              <w:t>To:</w:t>
            </w:r>
          </w:p>
        </w:tc>
        <w:tc>
          <w:tcPr>
            <w:tcW w:w="6390" w:type="dxa"/>
            <w:tcBorders>
              <w:top w:val="single" w:sz="4" w:space="0" w:color="auto"/>
            </w:tcBorders>
          </w:tcPr>
          <w:p w14:paraId="2F2AC8B5" w14:textId="44EC07DF" w:rsidR="00054F48" w:rsidRPr="00EC4FE1" w:rsidRDefault="00B95C0C" w:rsidP="00D35E54">
            <w:pPr>
              <w:pStyle w:val="tabletext"/>
              <w:spacing w:before="60" w:after="60"/>
              <w:ind w:left="101"/>
              <w:rPr>
                <w:rFonts w:asciiTheme="minorHAnsi" w:hAnsiTheme="minorHAnsi" w:cstheme="minorHAnsi"/>
                <w:sz w:val="22"/>
              </w:rPr>
            </w:pPr>
            <w:bookmarkStart w:id="0" w:name="bkmkTo"/>
            <w:bookmarkEnd w:id="0"/>
            <w:r w:rsidRPr="00EC4FE1">
              <w:rPr>
                <w:rFonts w:asciiTheme="minorHAnsi" w:hAnsiTheme="minorHAnsi" w:cstheme="minorHAnsi"/>
                <w:sz w:val="22"/>
              </w:rPr>
              <w:t>A</w:t>
            </w:r>
            <w:bookmarkStart w:id="1" w:name="bkmkDate"/>
            <w:bookmarkEnd w:id="1"/>
            <w:r w:rsidRPr="00EC4FE1">
              <w:rPr>
                <w:rFonts w:asciiTheme="minorHAnsi" w:hAnsiTheme="minorHAnsi" w:cstheme="minorHAnsi"/>
                <w:sz w:val="22"/>
              </w:rPr>
              <w:t>licia Forsythe, Sites Project Authority</w:t>
            </w:r>
          </w:p>
        </w:tc>
      </w:tr>
      <w:tr w:rsidR="00412F05" w:rsidRPr="00D475DE" w14:paraId="2F2AC8B9" w14:textId="77777777" w:rsidTr="00EF4D23">
        <w:trPr>
          <w:trHeight w:val="288"/>
        </w:trPr>
        <w:tc>
          <w:tcPr>
            <w:tcW w:w="2970" w:type="dxa"/>
          </w:tcPr>
          <w:p w14:paraId="2F2AC8B7" w14:textId="77777777" w:rsidR="00412F05" w:rsidRPr="00EC4FE1" w:rsidRDefault="00054F48" w:rsidP="00D35E54">
            <w:pPr>
              <w:pStyle w:val="blueheader"/>
              <w:spacing w:before="60" w:after="60"/>
              <w:rPr>
                <w:rFonts w:asciiTheme="minorHAnsi" w:hAnsiTheme="minorHAnsi" w:cstheme="minorHAnsi"/>
              </w:rPr>
            </w:pPr>
            <w:r w:rsidRPr="00EC4FE1">
              <w:rPr>
                <w:rFonts w:asciiTheme="minorHAnsi" w:hAnsiTheme="minorHAnsi" w:cstheme="minorHAnsi"/>
              </w:rPr>
              <w:t>CC</w:t>
            </w:r>
            <w:r w:rsidR="00412F05" w:rsidRPr="00EC4FE1">
              <w:rPr>
                <w:rFonts w:asciiTheme="minorHAnsi" w:hAnsiTheme="minorHAnsi" w:cstheme="minorHAnsi"/>
              </w:rPr>
              <w:t>:</w:t>
            </w:r>
          </w:p>
        </w:tc>
        <w:tc>
          <w:tcPr>
            <w:tcW w:w="6390" w:type="dxa"/>
          </w:tcPr>
          <w:p w14:paraId="4B774646" w14:textId="77777777" w:rsidR="00412F05" w:rsidRPr="00EC4FE1" w:rsidRDefault="00B95C0C" w:rsidP="00D35E54">
            <w:pPr>
              <w:pStyle w:val="tabletext"/>
              <w:spacing w:before="60" w:after="60"/>
              <w:ind w:left="101"/>
              <w:rPr>
                <w:rFonts w:asciiTheme="minorHAnsi" w:hAnsiTheme="minorHAnsi" w:cstheme="minorHAnsi"/>
                <w:sz w:val="22"/>
              </w:rPr>
            </w:pPr>
            <w:r w:rsidRPr="00EC4FE1">
              <w:rPr>
                <w:rFonts w:asciiTheme="minorHAnsi" w:hAnsiTheme="minorHAnsi" w:cstheme="minorHAnsi"/>
                <w:sz w:val="22"/>
              </w:rPr>
              <w:t>John Spranza, Sites Integration</w:t>
            </w:r>
          </w:p>
          <w:p w14:paraId="2F2AC8B8" w14:textId="72CCB621" w:rsidR="00801C6C" w:rsidRPr="00EC4FE1" w:rsidRDefault="00B95C0C" w:rsidP="00D35E54">
            <w:pPr>
              <w:pStyle w:val="tabletext"/>
              <w:spacing w:before="60" w:after="60"/>
              <w:ind w:left="101"/>
              <w:rPr>
                <w:rFonts w:asciiTheme="minorHAnsi" w:hAnsiTheme="minorHAnsi" w:cstheme="minorHAnsi"/>
                <w:sz w:val="22"/>
              </w:rPr>
            </w:pPr>
            <w:r w:rsidRPr="00EC4FE1">
              <w:rPr>
                <w:rFonts w:asciiTheme="minorHAnsi" w:hAnsiTheme="minorHAnsi" w:cstheme="minorHAnsi"/>
                <w:sz w:val="22"/>
              </w:rPr>
              <w:t>Laurie Warner-Herson, Sites Integration</w:t>
            </w:r>
          </w:p>
        </w:tc>
      </w:tr>
      <w:tr w:rsidR="005C664E" w:rsidRPr="005C664E" w14:paraId="2F2AC8BC" w14:textId="77777777" w:rsidTr="00EF4D23">
        <w:trPr>
          <w:trHeight w:val="288"/>
        </w:trPr>
        <w:tc>
          <w:tcPr>
            <w:tcW w:w="2970" w:type="dxa"/>
          </w:tcPr>
          <w:p w14:paraId="2F2AC8BA" w14:textId="77777777" w:rsidR="00054F48" w:rsidRPr="00EC4FE1" w:rsidRDefault="00054F48" w:rsidP="00D35E54">
            <w:pPr>
              <w:pStyle w:val="blueheader"/>
              <w:spacing w:before="60" w:after="60"/>
              <w:rPr>
                <w:rFonts w:asciiTheme="minorHAnsi" w:hAnsiTheme="minorHAnsi" w:cstheme="minorHAnsi"/>
                <w:color w:val="000000" w:themeColor="text1"/>
              </w:rPr>
            </w:pPr>
            <w:r w:rsidRPr="00EC4FE1">
              <w:rPr>
                <w:rFonts w:asciiTheme="minorHAnsi" w:hAnsiTheme="minorHAnsi" w:cstheme="minorHAnsi"/>
                <w:color w:val="000000" w:themeColor="text1"/>
              </w:rPr>
              <w:t>Date:</w:t>
            </w:r>
          </w:p>
        </w:tc>
        <w:sdt>
          <w:sdtPr>
            <w:rPr>
              <w:rStyle w:val="PlaceholderText"/>
              <w:rFonts w:asciiTheme="minorHAnsi" w:hAnsiTheme="minorHAnsi" w:cstheme="minorHAnsi"/>
              <w:color w:val="000000" w:themeColor="text1"/>
              <w:sz w:val="22"/>
            </w:rPr>
            <w:alias w:val="Distribution date"/>
            <w:tag w:val="Distribution date"/>
            <w:id w:val="1491917"/>
            <w:placeholder>
              <w:docPart w:val="5E34D10A90914735A32DBECB7B44A8ED"/>
            </w:placeholder>
            <w:date w:fullDate="2022-07-14T00:00:00Z">
              <w:dateFormat w:val="MMMM d, yyyy"/>
              <w:lid w:val="en-US"/>
              <w:storeMappedDataAs w:val="dateTime"/>
              <w:calendar w:val="gregorian"/>
            </w:date>
          </w:sdtPr>
          <w:sdtEndPr>
            <w:rPr>
              <w:rStyle w:val="PlaceholderText"/>
            </w:rPr>
          </w:sdtEndPr>
          <w:sdtContent>
            <w:tc>
              <w:tcPr>
                <w:tcW w:w="6390" w:type="dxa"/>
              </w:tcPr>
              <w:p w14:paraId="2F2AC8BB" w14:textId="29A56348" w:rsidR="00054F48" w:rsidRPr="00EC4FE1" w:rsidRDefault="004A39C8" w:rsidP="00D35E54">
                <w:pPr>
                  <w:pStyle w:val="tabletext"/>
                  <w:spacing w:before="60" w:after="60"/>
                  <w:ind w:left="101"/>
                  <w:rPr>
                    <w:rFonts w:asciiTheme="minorHAnsi" w:hAnsiTheme="minorHAnsi" w:cstheme="minorHAnsi"/>
                    <w:color w:val="000000" w:themeColor="text1"/>
                    <w:sz w:val="22"/>
                  </w:rPr>
                </w:pPr>
                <w:r>
                  <w:rPr>
                    <w:rStyle w:val="PlaceholderText"/>
                    <w:rFonts w:asciiTheme="minorHAnsi" w:hAnsiTheme="minorHAnsi" w:cstheme="minorHAnsi"/>
                    <w:color w:val="000000" w:themeColor="text1"/>
                    <w:sz w:val="22"/>
                  </w:rPr>
                  <w:t>July 14, 2022</w:t>
                </w:r>
              </w:p>
            </w:tc>
          </w:sdtContent>
        </w:sdt>
      </w:tr>
      <w:tr w:rsidR="00412F05" w:rsidRPr="00D475DE" w14:paraId="2F2AC8BF" w14:textId="77777777" w:rsidTr="00EF4D23">
        <w:trPr>
          <w:trHeight w:val="288"/>
        </w:trPr>
        <w:tc>
          <w:tcPr>
            <w:tcW w:w="2970" w:type="dxa"/>
          </w:tcPr>
          <w:p w14:paraId="2F2AC8BD" w14:textId="1762867C" w:rsidR="00412F05" w:rsidRPr="00EC4FE1" w:rsidRDefault="00412F05" w:rsidP="00D35E54">
            <w:pPr>
              <w:pStyle w:val="blueheader"/>
              <w:spacing w:before="60" w:after="60"/>
              <w:rPr>
                <w:rFonts w:asciiTheme="minorHAnsi" w:hAnsiTheme="minorHAnsi" w:cstheme="minorHAnsi"/>
              </w:rPr>
            </w:pPr>
            <w:r w:rsidRPr="00EC4FE1">
              <w:rPr>
                <w:rFonts w:asciiTheme="minorHAnsi" w:hAnsiTheme="minorHAnsi" w:cstheme="minorHAnsi"/>
              </w:rPr>
              <w:t>From:</w:t>
            </w:r>
          </w:p>
        </w:tc>
        <w:tc>
          <w:tcPr>
            <w:tcW w:w="6390" w:type="dxa"/>
          </w:tcPr>
          <w:p w14:paraId="2F2AC8BE" w14:textId="55470344" w:rsidR="00412F05" w:rsidRPr="00EC4FE1" w:rsidRDefault="001D20FF" w:rsidP="00D35E54">
            <w:pPr>
              <w:pStyle w:val="tabletext"/>
              <w:spacing w:before="60" w:after="60"/>
              <w:ind w:left="101"/>
              <w:rPr>
                <w:rFonts w:asciiTheme="minorHAnsi" w:hAnsiTheme="minorHAnsi" w:cstheme="minorHAnsi"/>
                <w:sz w:val="22"/>
              </w:rPr>
            </w:pPr>
            <w:bookmarkStart w:id="2" w:name="bkmkFrom"/>
            <w:bookmarkEnd w:id="2"/>
            <w:r w:rsidRPr="00EC4FE1">
              <w:rPr>
                <w:rFonts w:asciiTheme="minorHAnsi" w:hAnsiTheme="minorHAnsi" w:cstheme="minorHAnsi"/>
                <w:sz w:val="22"/>
              </w:rPr>
              <w:t>I</w:t>
            </w:r>
            <w:bookmarkStart w:id="3" w:name="bkmkCopyTo"/>
            <w:bookmarkStart w:id="4" w:name="bkmkCC"/>
            <w:bookmarkEnd w:id="3"/>
            <w:bookmarkEnd w:id="4"/>
            <w:r w:rsidRPr="00EC4FE1">
              <w:rPr>
                <w:rFonts w:asciiTheme="minorHAnsi" w:hAnsiTheme="minorHAnsi" w:cstheme="minorHAnsi"/>
                <w:sz w:val="22"/>
              </w:rPr>
              <w:t>CF</w:t>
            </w:r>
          </w:p>
        </w:tc>
      </w:tr>
      <w:tr w:rsidR="0057405E" w:rsidRPr="00D475DE" w14:paraId="2F2AC8C2" w14:textId="77777777" w:rsidTr="00EF4D23">
        <w:trPr>
          <w:trHeight w:val="288"/>
        </w:trPr>
        <w:tc>
          <w:tcPr>
            <w:tcW w:w="2970" w:type="dxa"/>
          </w:tcPr>
          <w:p w14:paraId="2F2AC8C0" w14:textId="4EF90384" w:rsidR="0057405E" w:rsidRPr="00EC4FE1" w:rsidRDefault="002A128D" w:rsidP="00D35E54">
            <w:pPr>
              <w:pStyle w:val="blueheader"/>
              <w:spacing w:before="60" w:after="60"/>
              <w:rPr>
                <w:rFonts w:asciiTheme="minorHAnsi" w:hAnsiTheme="minorHAnsi" w:cstheme="minorHAnsi"/>
              </w:rPr>
            </w:pPr>
            <w:r w:rsidRPr="00EC4FE1">
              <w:rPr>
                <w:rFonts w:asciiTheme="minorHAnsi" w:hAnsiTheme="minorHAnsi" w:cstheme="minorHAnsi"/>
              </w:rPr>
              <w:t xml:space="preserve">Quality </w:t>
            </w:r>
            <w:r w:rsidR="0057405E" w:rsidRPr="00EC4FE1">
              <w:rPr>
                <w:rFonts w:asciiTheme="minorHAnsi" w:hAnsiTheme="minorHAnsi" w:cstheme="minorHAnsi"/>
              </w:rPr>
              <w:t>Review:</w:t>
            </w:r>
          </w:p>
        </w:tc>
        <w:tc>
          <w:tcPr>
            <w:tcW w:w="6390" w:type="dxa"/>
          </w:tcPr>
          <w:p w14:paraId="2F2AC8C1" w14:textId="2DDEBFB2" w:rsidR="0057405E" w:rsidRPr="00EC4FE1" w:rsidRDefault="004C5349" w:rsidP="00D35E54">
            <w:pPr>
              <w:pStyle w:val="tabletext"/>
              <w:spacing w:before="60" w:after="60"/>
              <w:ind w:left="101"/>
              <w:rPr>
                <w:rFonts w:asciiTheme="minorHAnsi" w:hAnsiTheme="minorHAnsi" w:cstheme="minorHAnsi"/>
                <w:sz w:val="22"/>
              </w:rPr>
            </w:pPr>
            <w:r w:rsidRPr="00EC4FE1">
              <w:rPr>
                <w:rFonts w:asciiTheme="minorHAnsi" w:hAnsiTheme="minorHAnsi" w:cstheme="minorHAnsi"/>
                <w:sz w:val="22"/>
              </w:rPr>
              <w:t xml:space="preserve">Mike Hendrick </w:t>
            </w:r>
            <w:r w:rsidR="001D20FF" w:rsidRPr="00EC4FE1">
              <w:rPr>
                <w:rFonts w:asciiTheme="minorHAnsi" w:hAnsiTheme="minorHAnsi" w:cstheme="minorHAnsi"/>
                <w:sz w:val="22"/>
              </w:rPr>
              <w:t>(ICF)</w:t>
            </w:r>
          </w:p>
        </w:tc>
      </w:tr>
      <w:tr w:rsidR="002A128D" w:rsidRPr="00D475DE" w14:paraId="22262334" w14:textId="77777777" w:rsidTr="00EF4D23">
        <w:trPr>
          <w:trHeight w:val="288"/>
        </w:trPr>
        <w:tc>
          <w:tcPr>
            <w:tcW w:w="2970" w:type="dxa"/>
          </w:tcPr>
          <w:p w14:paraId="462DF20A" w14:textId="6588FFB0" w:rsidR="002A128D" w:rsidRPr="00EC4FE1" w:rsidRDefault="002A128D" w:rsidP="00D35E54">
            <w:pPr>
              <w:pStyle w:val="blueheader"/>
              <w:spacing w:before="60" w:after="60"/>
              <w:rPr>
                <w:rFonts w:asciiTheme="minorHAnsi" w:hAnsiTheme="minorHAnsi" w:cstheme="minorHAnsi"/>
              </w:rPr>
            </w:pPr>
            <w:r w:rsidRPr="00EC4FE1">
              <w:rPr>
                <w:rFonts w:asciiTheme="minorHAnsi" w:hAnsiTheme="minorHAnsi" w:cstheme="minorHAnsi"/>
              </w:rPr>
              <w:t>Authority Agent Review:</w:t>
            </w:r>
          </w:p>
        </w:tc>
        <w:tc>
          <w:tcPr>
            <w:tcW w:w="6390" w:type="dxa"/>
          </w:tcPr>
          <w:p w14:paraId="6BAB353C" w14:textId="4208C561" w:rsidR="002A128D" w:rsidRPr="00EC4FE1" w:rsidRDefault="007A51ED" w:rsidP="00D35E54">
            <w:pPr>
              <w:pStyle w:val="tabletext"/>
              <w:spacing w:before="60" w:after="60"/>
              <w:ind w:left="101"/>
              <w:rPr>
                <w:rFonts w:asciiTheme="minorHAnsi" w:hAnsiTheme="minorHAnsi" w:cstheme="minorHAnsi"/>
                <w:sz w:val="22"/>
              </w:rPr>
            </w:pPr>
            <w:r w:rsidRPr="00EC4FE1">
              <w:rPr>
                <w:rFonts w:asciiTheme="minorHAnsi" w:hAnsiTheme="minorHAnsi" w:cstheme="minorHAnsi"/>
                <w:sz w:val="22"/>
              </w:rPr>
              <w:t>N/A</w:t>
            </w:r>
          </w:p>
        </w:tc>
      </w:tr>
      <w:tr w:rsidR="001A19AB" w:rsidRPr="00D475DE" w14:paraId="2F2AC8C5" w14:textId="77777777" w:rsidTr="00EF4D23">
        <w:trPr>
          <w:trHeight w:val="288"/>
        </w:trPr>
        <w:tc>
          <w:tcPr>
            <w:tcW w:w="2970" w:type="dxa"/>
            <w:tcBorders>
              <w:bottom w:val="single" w:sz="4" w:space="0" w:color="auto"/>
            </w:tcBorders>
          </w:tcPr>
          <w:p w14:paraId="2F2AC8C3" w14:textId="77777777" w:rsidR="00323DDB" w:rsidRPr="00EC4FE1" w:rsidRDefault="00323DDB" w:rsidP="00D35E54">
            <w:pPr>
              <w:pStyle w:val="blueheader"/>
              <w:spacing w:before="60" w:after="60"/>
              <w:rPr>
                <w:rFonts w:asciiTheme="minorHAnsi" w:hAnsiTheme="minorHAnsi" w:cstheme="minorHAnsi"/>
              </w:rPr>
            </w:pPr>
            <w:r w:rsidRPr="00EC4FE1">
              <w:rPr>
                <w:rFonts w:asciiTheme="minorHAnsi" w:hAnsiTheme="minorHAnsi" w:cstheme="minorHAnsi"/>
              </w:rPr>
              <w:t>Subject:</w:t>
            </w:r>
          </w:p>
        </w:tc>
        <w:tc>
          <w:tcPr>
            <w:tcW w:w="6390" w:type="dxa"/>
            <w:tcBorders>
              <w:bottom w:val="single" w:sz="4" w:space="0" w:color="auto"/>
            </w:tcBorders>
          </w:tcPr>
          <w:p w14:paraId="2F2AC8C4" w14:textId="477735F3" w:rsidR="00323DDB" w:rsidRPr="00EC4FE1" w:rsidRDefault="001D20FF" w:rsidP="00D35E54">
            <w:pPr>
              <w:pStyle w:val="tabletext"/>
              <w:spacing w:before="60" w:after="60"/>
              <w:ind w:left="115"/>
              <w:rPr>
                <w:rFonts w:asciiTheme="minorHAnsi" w:hAnsiTheme="minorHAnsi" w:cstheme="minorHAnsi"/>
                <w:sz w:val="22"/>
              </w:rPr>
            </w:pPr>
            <w:bookmarkStart w:id="5" w:name="bkmkSubject"/>
            <w:bookmarkStart w:id="6" w:name="bkmkRefNo"/>
            <w:bookmarkEnd w:id="5"/>
            <w:bookmarkEnd w:id="6"/>
            <w:r w:rsidRPr="00EC4FE1">
              <w:rPr>
                <w:rFonts w:asciiTheme="minorHAnsi" w:hAnsiTheme="minorHAnsi" w:cstheme="minorHAnsi"/>
                <w:sz w:val="22"/>
              </w:rPr>
              <w:t xml:space="preserve">Preliminary </w:t>
            </w:r>
            <w:r w:rsidR="004C5349" w:rsidRPr="00EC4FE1">
              <w:rPr>
                <w:rFonts w:asciiTheme="minorHAnsi" w:hAnsiTheme="minorHAnsi" w:cstheme="minorHAnsi"/>
                <w:sz w:val="22"/>
              </w:rPr>
              <w:t xml:space="preserve">Evaluation of the Planning Aid Memorandum </w:t>
            </w:r>
          </w:p>
        </w:tc>
      </w:tr>
    </w:tbl>
    <w:p w14:paraId="51FAFD8C" w14:textId="084D7136" w:rsidR="0031372B" w:rsidRPr="00685E63" w:rsidRDefault="001D20FF" w:rsidP="0016537E">
      <w:pPr>
        <w:pStyle w:val="Heading1"/>
        <w:rPr>
          <w:b w:val="0"/>
        </w:rPr>
      </w:pPr>
      <w:r w:rsidRPr="0016537E">
        <w:t>Purpose</w:t>
      </w:r>
    </w:p>
    <w:p w14:paraId="65DFE376" w14:textId="6C998050" w:rsidR="004C5349" w:rsidRPr="004008FB" w:rsidRDefault="00135926" w:rsidP="008E22BD">
      <w:pPr>
        <w:pStyle w:val="mainbodytext"/>
      </w:pPr>
      <w:r>
        <w:t>This memorandum presents a preliminary evaluation of the</w:t>
      </w:r>
      <w:r w:rsidR="004C5349" w:rsidRPr="00E7693E">
        <w:t xml:space="preserve"> August 5, 2021, </w:t>
      </w:r>
      <w:r w:rsidR="004C5349" w:rsidRPr="004008FB">
        <w:t>Planning Aid Memorandum (PAM</w:t>
      </w:r>
      <w:r w:rsidR="00D34B0A">
        <w:fldChar w:fldCharType="begin"/>
      </w:r>
      <w:r w:rsidR="00D34B0A">
        <w:instrText xml:space="preserve"> TC "Planning Aid Memorandum (PAM" \f A \l "1" </w:instrText>
      </w:r>
      <w:r w:rsidR="00D34B0A">
        <w:fldChar w:fldCharType="end"/>
      </w:r>
      <w:r w:rsidR="004C5349" w:rsidRPr="004008FB">
        <w:t>)</w:t>
      </w:r>
      <w:r>
        <w:t xml:space="preserve"> </w:t>
      </w:r>
      <w:r w:rsidR="00F157D7">
        <w:t>provided</w:t>
      </w:r>
      <w:r w:rsidR="00423DB2">
        <w:t xml:space="preserve"> by</w:t>
      </w:r>
      <w:r>
        <w:t xml:space="preserve"> the </w:t>
      </w:r>
      <w:r w:rsidRPr="00E7693E">
        <w:t>U</w:t>
      </w:r>
      <w:r>
        <w:t>.</w:t>
      </w:r>
      <w:r w:rsidRPr="00E7693E">
        <w:t>S</w:t>
      </w:r>
      <w:r>
        <w:t>.</w:t>
      </w:r>
      <w:r w:rsidRPr="00E7693E">
        <w:t xml:space="preserve"> Fish and Wildlife Service (USFWS</w:t>
      </w:r>
      <w:r w:rsidR="00D34B0A">
        <w:fldChar w:fldCharType="begin"/>
      </w:r>
      <w:r w:rsidR="00D34B0A">
        <w:instrText xml:space="preserve"> TC "U.S. Fish and Wildlife Service (USFWS" \f A \l "1" </w:instrText>
      </w:r>
      <w:r w:rsidR="00D34B0A">
        <w:fldChar w:fldCharType="end"/>
      </w:r>
      <w:r w:rsidRPr="00E7693E">
        <w:t>)</w:t>
      </w:r>
      <w:r>
        <w:t xml:space="preserve"> </w:t>
      </w:r>
      <w:r w:rsidR="00423DB2">
        <w:t>to</w:t>
      </w:r>
      <w:r>
        <w:t xml:space="preserve"> </w:t>
      </w:r>
      <w:r w:rsidR="00143220">
        <w:t>the Bureau of Reclamation (Reclamation) for the Sites Reservoir Project (Project)</w:t>
      </w:r>
      <w:r w:rsidR="004C5349" w:rsidRPr="004008FB">
        <w:t xml:space="preserve">. </w:t>
      </w:r>
      <w:r w:rsidR="00143220" w:rsidRPr="004008FB">
        <w:t xml:space="preserve">The purpose of the PAM </w:t>
      </w:r>
      <w:r>
        <w:t>was</w:t>
      </w:r>
      <w:r w:rsidR="00143220" w:rsidRPr="004008FB">
        <w:t xml:space="preserve"> to provide Reclamation with the USFWS’s comments and recommendations </w:t>
      </w:r>
      <w:r w:rsidR="00CE4E3C">
        <w:t>regarding the Project’s potential effects</w:t>
      </w:r>
      <w:r w:rsidR="00143220" w:rsidRPr="004008FB">
        <w:t xml:space="preserve"> on </w:t>
      </w:r>
      <w:r>
        <w:t>biological</w:t>
      </w:r>
      <w:r w:rsidR="00143220" w:rsidRPr="004008FB">
        <w:t xml:space="preserve"> resources for consideration in project planning and preparation of a public revised draft environmental document.</w:t>
      </w:r>
      <w:r w:rsidR="00143220">
        <w:t xml:space="preserve"> </w:t>
      </w:r>
      <w:r w:rsidR="004C5349" w:rsidRPr="004008FB">
        <w:t xml:space="preserve">The PAM </w:t>
      </w:r>
      <w:r>
        <w:t>was</w:t>
      </w:r>
      <w:r w:rsidR="004C5349" w:rsidRPr="004008FB">
        <w:t xml:space="preserve"> </w:t>
      </w:r>
      <w:r w:rsidR="00423DB2">
        <w:t>prepared</w:t>
      </w:r>
      <w:r w:rsidR="004C5349" w:rsidRPr="004008FB">
        <w:t xml:space="preserve"> under the Fish and Wildlife Coordination Act (48 Stat. 401, as amended; 16 U.S.C. 661 </w:t>
      </w:r>
      <w:r w:rsidR="004C5349" w:rsidRPr="004008FB">
        <w:rPr>
          <w:i/>
          <w:iCs/>
        </w:rPr>
        <w:t>et seq</w:t>
      </w:r>
      <w:r w:rsidR="004C5349" w:rsidRPr="004008FB">
        <w:t xml:space="preserve">.). The </w:t>
      </w:r>
      <w:r w:rsidR="00225794" w:rsidRPr="004008FB">
        <w:t>Fish and Wildlife Coordination Act</w:t>
      </w:r>
      <w:r w:rsidR="004C5349" w:rsidRPr="004008FB">
        <w:t xml:space="preserve"> requires </w:t>
      </w:r>
      <w:r w:rsidR="00143220">
        <w:t>f</w:t>
      </w:r>
      <w:r w:rsidR="004C5349" w:rsidRPr="004008FB">
        <w:t xml:space="preserve">ederal agencies proposing water resource development projects or involved in issuance of related permits or licenses to consult with the </w:t>
      </w:r>
      <w:r w:rsidR="00C91EBE" w:rsidRPr="004008FB">
        <w:t>USFWS</w:t>
      </w:r>
      <w:r w:rsidR="004C5349" w:rsidRPr="004008FB">
        <w:t xml:space="preserve"> and provide equal consideration to the conservation, rehabilitation, and enhancement of fish and wildlife resources with other </w:t>
      </w:r>
      <w:r w:rsidR="004C5349" w:rsidRPr="008E22BD">
        <w:t>project</w:t>
      </w:r>
      <w:r w:rsidR="004C5349" w:rsidRPr="004008FB">
        <w:t xml:space="preserve"> purposes. </w:t>
      </w:r>
    </w:p>
    <w:p w14:paraId="2C34543C" w14:textId="0C88964D" w:rsidR="004C5349" w:rsidRPr="00DB016F" w:rsidRDefault="004C5349" w:rsidP="006E6677">
      <w:pPr>
        <w:pStyle w:val="mainbodytext"/>
      </w:pPr>
      <w:r w:rsidRPr="004008FB">
        <w:t xml:space="preserve">The </w:t>
      </w:r>
      <w:r w:rsidR="00C91EBE" w:rsidRPr="004008FB">
        <w:t xml:space="preserve">PAM </w:t>
      </w:r>
      <w:r w:rsidRPr="004008FB">
        <w:t>summarize</w:t>
      </w:r>
      <w:r w:rsidR="00135926">
        <w:t>d</w:t>
      </w:r>
      <w:r w:rsidRPr="004008FB">
        <w:t xml:space="preserve"> early coordination </w:t>
      </w:r>
      <w:r w:rsidR="00135926">
        <w:t>between USFWS and</w:t>
      </w:r>
      <w:r w:rsidRPr="004008FB">
        <w:t xml:space="preserve"> </w:t>
      </w:r>
      <w:r w:rsidR="00C91EBE" w:rsidRPr="004008FB">
        <w:t xml:space="preserve">Reclamation </w:t>
      </w:r>
      <w:r w:rsidRPr="004008FB">
        <w:t>regarding potential</w:t>
      </w:r>
      <w:r w:rsidR="009F2059">
        <w:t xml:space="preserve"> </w:t>
      </w:r>
      <w:r w:rsidRPr="004008FB">
        <w:t>effects of the proposed Project</w:t>
      </w:r>
      <w:r w:rsidRPr="00DB016F">
        <w:t>. It provide</w:t>
      </w:r>
      <w:r w:rsidR="000422A0" w:rsidRPr="00DB016F">
        <w:t>d</w:t>
      </w:r>
      <w:r w:rsidRPr="00DB016F">
        <w:t xml:space="preserve"> a high-level description of the </w:t>
      </w:r>
      <w:r w:rsidR="00C91EBE" w:rsidRPr="00DB016F">
        <w:t>P</w:t>
      </w:r>
      <w:r w:rsidRPr="00DB016F">
        <w:t>roject and USFWS’</w:t>
      </w:r>
      <w:r w:rsidR="000422A0" w:rsidRPr="00DB016F">
        <w:t>s</w:t>
      </w:r>
      <w:r w:rsidRPr="00DB016F">
        <w:t xml:space="preserve"> views of potential effects of the </w:t>
      </w:r>
      <w:r w:rsidR="000422A0" w:rsidRPr="00DB016F">
        <w:t>inundation of upland habitat (i.e., upland effects)</w:t>
      </w:r>
      <w:r w:rsidR="000C6AB2" w:rsidRPr="00DB016F">
        <w:t>,</w:t>
      </w:r>
      <w:r w:rsidR="000422A0" w:rsidRPr="00DB016F">
        <w:t xml:space="preserve"> </w:t>
      </w:r>
      <w:r w:rsidRPr="00DB016F">
        <w:t>increased diversions of Sacramento River water</w:t>
      </w:r>
      <w:r w:rsidR="000422A0" w:rsidRPr="00DB016F">
        <w:t xml:space="preserve"> (i.e., in-river effects)</w:t>
      </w:r>
      <w:r w:rsidR="000C6AB2" w:rsidRPr="00DB016F">
        <w:t>, and cumulative impacts</w:t>
      </w:r>
      <w:r w:rsidR="006C5E79" w:rsidRPr="00DB016F">
        <w:t xml:space="preserve"> associated with </w:t>
      </w:r>
      <w:r w:rsidR="000C6AB2" w:rsidRPr="00DB016F">
        <w:t>implementation of other projects</w:t>
      </w:r>
      <w:r w:rsidRPr="00DB016F">
        <w:t xml:space="preserve">. The </w:t>
      </w:r>
      <w:r w:rsidR="000422A0" w:rsidRPr="00DB016F">
        <w:t>PAM also</w:t>
      </w:r>
      <w:r w:rsidRPr="00DB016F">
        <w:t xml:space="preserve"> summarize</w:t>
      </w:r>
      <w:r w:rsidR="000422A0" w:rsidRPr="00DB016F">
        <w:t>d</w:t>
      </w:r>
      <w:r w:rsidRPr="00DB016F">
        <w:t xml:space="preserve"> information and early analysis of effects provided to the USFWS by </w:t>
      </w:r>
      <w:r w:rsidR="00C91EBE" w:rsidRPr="00DB016F">
        <w:t xml:space="preserve">Reclamation </w:t>
      </w:r>
      <w:r w:rsidRPr="00DB016F">
        <w:t>and identifie</w:t>
      </w:r>
      <w:r w:rsidR="000422A0" w:rsidRPr="00DB016F">
        <w:t>d</w:t>
      </w:r>
      <w:r w:rsidRPr="00DB016F">
        <w:t xml:space="preserve"> areas and </w:t>
      </w:r>
      <w:r w:rsidR="007B278F" w:rsidRPr="00DB016F">
        <w:t xml:space="preserve">concerns </w:t>
      </w:r>
      <w:r w:rsidRPr="00DB016F">
        <w:t xml:space="preserve">where the USFWS </w:t>
      </w:r>
      <w:r w:rsidR="000422A0" w:rsidRPr="00DB016F">
        <w:t>indicated that</w:t>
      </w:r>
      <w:r w:rsidRPr="00DB016F">
        <w:t xml:space="preserve"> more information or analysis </w:t>
      </w:r>
      <w:r w:rsidR="000422A0" w:rsidRPr="00DB016F">
        <w:t>was</w:t>
      </w:r>
      <w:r w:rsidRPr="00DB016F">
        <w:t xml:space="preserve"> needed. </w:t>
      </w:r>
    </w:p>
    <w:p w14:paraId="13FE9F38" w14:textId="6EFAB5C0" w:rsidR="00C86D92" w:rsidRDefault="004008FB" w:rsidP="008E22BD">
      <w:pPr>
        <w:pStyle w:val="mainbodytext"/>
      </w:pPr>
      <w:r w:rsidRPr="00DB016F">
        <w:t xml:space="preserve">The key </w:t>
      </w:r>
      <w:r w:rsidR="007B278F" w:rsidRPr="00DB016F">
        <w:t xml:space="preserve">concerns </w:t>
      </w:r>
      <w:r w:rsidRPr="00DB016F">
        <w:t>identified in the PAM</w:t>
      </w:r>
      <w:r w:rsidR="000C6AB2" w:rsidRPr="00DB016F">
        <w:t xml:space="preserve"> </w:t>
      </w:r>
      <w:r w:rsidR="006C5E79" w:rsidRPr="00DB016F">
        <w:t xml:space="preserve">are categorized as upland effects (Section 2.0), in-river effects (Section 3.0), and cumulative impacts (Section 4.0). Responses summarizing how each key </w:t>
      </w:r>
      <w:r w:rsidR="000A7DDC" w:rsidRPr="00DB016F">
        <w:t xml:space="preserve">concern </w:t>
      </w:r>
      <w:r w:rsidR="006C5E79" w:rsidRPr="00DB016F">
        <w:t>was addressed are provided</w:t>
      </w:r>
      <w:r w:rsidR="00F53246" w:rsidRPr="00DB016F">
        <w:t xml:space="preserve"> herein</w:t>
      </w:r>
      <w:r w:rsidR="00A268E6">
        <w:t>. T</w:t>
      </w:r>
      <w:r w:rsidR="00F53246" w:rsidRPr="00DB016F">
        <w:t xml:space="preserve">he </w:t>
      </w:r>
      <w:r w:rsidRPr="00DB016F">
        <w:t xml:space="preserve">Revised Draft Environmental </w:t>
      </w:r>
      <w:r w:rsidRPr="004008FB">
        <w:t>Impact Report/Supplemental Draft Environmental Impact Statement (RDEIR/SDEIS</w:t>
      </w:r>
      <w:r w:rsidR="00D34B0A">
        <w:fldChar w:fldCharType="begin"/>
      </w:r>
      <w:r w:rsidR="00D34B0A">
        <w:instrText xml:space="preserve"> TC "Revised Draft Environmental Impact Report/Supplemental Draft Environmental Impact Statement (RDEIR/SDEIS" \f A \l "1" </w:instrText>
      </w:r>
      <w:r w:rsidR="00D34B0A">
        <w:fldChar w:fldCharType="end"/>
      </w:r>
      <w:r w:rsidRPr="004008FB">
        <w:t>)</w:t>
      </w:r>
      <w:r w:rsidR="00F53246">
        <w:t xml:space="preserve"> released in November 2021</w:t>
      </w:r>
      <w:r w:rsidRPr="004008FB">
        <w:t xml:space="preserve"> </w:t>
      </w:r>
      <w:r w:rsidR="00F53246">
        <w:t>contained</w:t>
      </w:r>
      <w:r w:rsidRPr="004008FB">
        <w:t xml:space="preserve"> much of the information to </w:t>
      </w:r>
      <w:r w:rsidRPr="008E22BD">
        <w:t>address</w:t>
      </w:r>
      <w:r w:rsidRPr="004008FB">
        <w:t xml:space="preserve"> these key </w:t>
      </w:r>
      <w:r w:rsidR="007B278F">
        <w:t xml:space="preserve">concerns </w:t>
      </w:r>
      <w:r w:rsidR="00552A26">
        <w:t>(Sites Project Authority and Bureau of Reclamation</w:t>
      </w:r>
      <w:r w:rsidR="002A1CBB">
        <w:t xml:space="preserve"> 2021</w:t>
      </w:r>
      <w:r w:rsidR="00D34B0A">
        <w:fldChar w:fldCharType="begin"/>
      </w:r>
      <w:r w:rsidR="00D34B0A">
        <w:instrText xml:space="preserve"> TC "Sites Project Authority and Bureau of Reclamation 2021" \f C \l "1" </w:instrText>
      </w:r>
      <w:r w:rsidR="00D34B0A">
        <w:fldChar w:fldCharType="end"/>
      </w:r>
      <w:r w:rsidR="00552A26">
        <w:t>)</w:t>
      </w:r>
      <w:r w:rsidRPr="004008FB">
        <w:t xml:space="preserve">. </w:t>
      </w:r>
      <w:r w:rsidR="00801C6C">
        <w:t>The PAM was developed based on the USFWS’s review of the first administrative draft of the RDEIR/SDEIS and there were several substantive changes that occurred between the administrative draft and the publicly released RDEIR/SDEIS, which are explained below. In addition, s</w:t>
      </w:r>
      <w:r w:rsidRPr="004008FB">
        <w:t>ubsequent analys</w:t>
      </w:r>
      <w:r w:rsidR="00F53246">
        <w:t>is</w:t>
      </w:r>
      <w:r w:rsidRPr="004008FB">
        <w:t xml:space="preserve"> </w:t>
      </w:r>
      <w:r w:rsidRPr="004008FB">
        <w:lastRenderedPageBreak/>
        <w:t xml:space="preserve">that </w:t>
      </w:r>
      <w:r w:rsidR="00125E90">
        <w:t>has</w:t>
      </w:r>
      <w:r w:rsidR="00E80896">
        <w:t xml:space="preserve"> been</w:t>
      </w:r>
      <w:r w:rsidR="00125E90" w:rsidRPr="004008FB">
        <w:t xml:space="preserve"> </w:t>
      </w:r>
      <w:r w:rsidRPr="004008FB">
        <w:t xml:space="preserve">developed </w:t>
      </w:r>
      <w:r w:rsidR="00E80896">
        <w:t>to date</w:t>
      </w:r>
      <w:r w:rsidRPr="004008FB">
        <w:t xml:space="preserve"> in preparation of response</w:t>
      </w:r>
      <w:r w:rsidR="00F53246">
        <w:t>s</w:t>
      </w:r>
      <w:r w:rsidRPr="004008FB">
        <w:t xml:space="preserve"> to </w:t>
      </w:r>
      <w:r w:rsidR="00F53246">
        <w:t xml:space="preserve">public </w:t>
      </w:r>
      <w:r w:rsidRPr="004008FB">
        <w:t xml:space="preserve">comments on the </w:t>
      </w:r>
      <w:r w:rsidR="00090CBE" w:rsidRPr="004008FB">
        <w:t>RDEIR/SDEIS</w:t>
      </w:r>
      <w:r w:rsidRPr="004008FB">
        <w:t xml:space="preserve"> and for the development of related permitting processes was </w:t>
      </w:r>
      <w:r w:rsidR="00964386">
        <w:t xml:space="preserve">also </w:t>
      </w:r>
      <w:r w:rsidR="00F53246">
        <w:t>used</w:t>
      </w:r>
      <w:r w:rsidRPr="004008FB">
        <w:t xml:space="preserve"> to </w:t>
      </w:r>
      <w:r w:rsidR="00F53246">
        <w:t>address</w:t>
      </w:r>
      <w:r w:rsidRPr="004008FB">
        <w:t xml:space="preserve"> the key </w:t>
      </w:r>
      <w:r w:rsidR="007B278F">
        <w:t>concerns</w:t>
      </w:r>
      <w:r w:rsidRPr="004008FB">
        <w:t xml:space="preserve">.  </w:t>
      </w:r>
    </w:p>
    <w:p w14:paraId="03F1C708" w14:textId="019FE33E" w:rsidR="004008FB" w:rsidRDefault="00C86D92" w:rsidP="008E22BD">
      <w:pPr>
        <w:pStyle w:val="mainbodytext"/>
      </w:pPr>
      <w:r>
        <w:t xml:space="preserve">It is important to note that the </w:t>
      </w:r>
      <w:r w:rsidR="00AE7C72">
        <w:t>analysis of the comments on the RDEIR/SDEIS</w:t>
      </w:r>
      <w:r w:rsidR="00794EDD">
        <w:t>,</w:t>
      </w:r>
      <w:r w:rsidR="00AE7C72">
        <w:t xml:space="preserve"> the response to those comments</w:t>
      </w:r>
      <w:r w:rsidR="00794EDD">
        <w:t>, and the preparation of the Final EIR/EIS are</w:t>
      </w:r>
      <w:r w:rsidR="00AE7C72">
        <w:t xml:space="preserve"> ongoing</w:t>
      </w:r>
      <w:r w:rsidR="00794EDD">
        <w:t>.</w:t>
      </w:r>
      <w:r w:rsidR="004008FB" w:rsidRPr="004008FB">
        <w:t xml:space="preserve"> </w:t>
      </w:r>
      <w:r w:rsidR="00380F49">
        <w:t xml:space="preserve">The Authority has recently changed the Project’s diversion criteria </w:t>
      </w:r>
      <w:r w:rsidR="009B351C">
        <w:t xml:space="preserve">and has </w:t>
      </w:r>
      <w:r w:rsidR="00125BFF">
        <w:t xml:space="preserve">worked with Reclamation </w:t>
      </w:r>
      <w:r w:rsidR="004A3ADF">
        <w:t xml:space="preserve">since the issuance of the RDEIR/SDEIS to </w:t>
      </w:r>
      <w:r w:rsidR="004D5FD0">
        <w:t xml:space="preserve">enhance the Project’s </w:t>
      </w:r>
      <w:r w:rsidR="00823DDD">
        <w:t xml:space="preserve">anadromous species benefits, especially as reflected in the modeling framework.  In addition, the Authority has </w:t>
      </w:r>
      <w:r w:rsidR="009B351C">
        <w:t>moved from Alternative 1 as its Preferred Project for the purposes of the California Environmental Quality Act compliance to Alternative 3.</w:t>
      </w:r>
      <w:r w:rsidR="00823DDD">
        <w:t xml:space="preserve"> Revised modeling i</w:t>
      </w:r>
      <w:r w:rsidR="00923E2D">
        <w:t xml:space="preserve">s underway to reflect these adjustments and once modeling is completed, the Authority </w:t>
      </w:r>
      <w:r w:rsidR="00101E3B">
        <w:t xml:space="preserve">and Reclamation </w:t>
      </w:r>
      <w:r w:rsidR="00923E2D">
        <w:t xml:space="preserve">look forward to discussing the results and revisions to subsequent species analysis with the USFWS, </w:t>
      </w:r>
      <w:r w:rsidR="00C54B40" w:rsidRPr="004008FB">
        <w:t>National Marine Fisheries Service</w:t>
      </w:r>
      <w:r w:rsidR="00C54B40">
        <w:t xml:space="preserve"> [NMFS</w:t>
      </w:r>
      <w:r w:rsidR="00C54B40">
        <w:fldChar w:fldCharType="begin"/>
      </w:r>
      <w:r w:rsidR="00C54B40">
        <w:instrText xml:space="preserve"> TC "National Marine Fisheries Service [NMFS" \f A \l "1" </w:instrText>
      </w:r>
      <w:r w:rsidR="00C54B40">
        <w:fldChar w:fldCharType="end"/>
      </w:r>
      <w:r w:rsidR="00C54B40">
        <w:t>]</w:t>
      </w:r>
      <w:r w:rsidR="00C54B40" w:rsidRPr="004008FB">
        <w:t>, and</w:t>
      </w:r>
      <w:r w:rsidR="00C54B40">
        <w:t xml:space="preserve"> the</w:t>
      </w:r>
      <w:r w:rsidR="00C54B40" w:rsidRPr="004008FB">
        <w:t xml:space="preserve"> C</w:t>
      </w:r>
      <w:r w:rsidR="00C54B40">
        <w:t>alifornia</w:t>
      </w:r>
      <w:r w:rsidR="00C54B40" w:rsidRPr="004008FB">
        <w:t xml:space="preserve"> Department of Fish and Wildlife </w:t>
      </w:r>
      <w:r w:rsidR="00C54B40">
        <w:t>[</w:t>
      </w:r>
      <w:r w:rsidR="00C54B40" w:rsidRPr="004008FB">
        <w:t>CDFW</w:t>
      </w:r>
      <w:r w:rsidR="00C54B40">
        <w:fldChar w:fldCharType="begin"/>
      </w:r>
      <w:r w:rsidR="00C54B40">
        <w:instrText xml:space="preserve"> TC "California Department of Fish and Wildlife [CDFW" \f A \l "1" </w:instrText>
      </w:r>
      <w:r w:rsidR="00C54B40">
        <w:fldChar w:fldCharType="end"/>
      </w:r>
      <w:r w:rsidR="00C54B40">
        <w:t>]</w:t>
      </w:r>
      <w:r w:rsidR="00101E3B">
        <w:t>.</w:t>
      </w:r>
      <w:r w:rsidR="008F67CE">
        <w:t xml:space="preserve"> </w:t>
      </w:r>
      <w:r w:rsidR="000D0444">
        <w:t>Therefore, t</w:t>
      </w:r>
      <w:r w:rsidR="008F67CE">
        <w:t xml:space="preserve">he information and responses in this memorandum </w:t>
      </w:r>
      <w:r w:rsidR="000D0444">
        <w:t xml:space="preserve">may </w:t>
      </w:r>
      <w:r w:rsidR="00877B05">
        <w:t xml:space="preserve">change as </w:t>
      </w:r>
      <w:r w:rsidR="00C90BFE">
        <w:t xml:space="preserve">these enhanced species protections and </w:t>
      </w:r>
      <w:r w:rsidR="00446C72">
        <w:t xml:space="preserve">species benefits are </w:t>
      </w:r>
      <w:r w:rsidR="000726FD">
        <w:t xml:space="preserve">incorporated into the Project. </w:t>
      </w:r>
      <w:r w:rsidR="004B3184">
        <w:t xml:space="preserve"> </w:t>
      </w:r>
    </w:p>
    <w:p w14:paraId="24E18103" w14:textId="6DDD81A9" w:rsidR="00AB45AE" w:rsidRDefault="006714A8" w:rsidP="00AB45AE">
      <w:pPr>
        <w:pStyle w:val="Heading1"/>
      </w:pPr>
      <w:r>
        <w:t>Upland Effects</w:t>
      </w:r>
    </w:p>
    <w:p w14:paraId="19C29865" w14:textId="2A0460FA" w:rsidR="006714A8" w:rsidRPr="004008FB" w:rsidRDefault="0041455E" w:rsidP="0016537E">
      <w:pPr>
        <w:pStyle w:val="mainbodytext"/>
      </w:pPr>
      <w:r w:rsidRPr="00977C0D">
        <w:rPr>
          <w:b/>
          <w:bCs/>
        </w:rPr>
        <w:t xml:space="preserve">Key </w:t>
      </w:r>
      <w:r w:rsidR="007B278F" w:rsidRPr="00977C0D">
        <w:rPr>
          <w:b/>
          <w:bCs/>
        </w:rPr>
        <w:t>Concern</w:t>
      </w:r>
      <w:r w:rsidR="006714A8" w:rsidRPr="00977C0D">
        <w:rPr>
          <w:b/>
          <w:bCs/>
        </w:rPr>
        <w:t>:</w:t>
      </w:r>
      <w:r w:rsidR="006714A8" w:rsidRPr="004008FB">
        <w:t xml:space="preserve"> Provide greater specificity regarding potential mitigation lands or banks for each of the habitat types for which mitigation is proposed.</w:t>
      </w:r>
    </w:p>
    <w:p w14:paraId="1CB652E8" w14:textId="1EBE87A7" w:rsidR="007B278F" w:rsidRDefault="006714A8" w:rsidP="0016537E">
      <w:pPr>
        <w:pStyle w:val="mainbodytext"/>
      </w:pPr>
      <w:r w:rsidRPr="004008FB">
        <w:rPr>
          <w:b/>
          <w:bCs/>
        </w:rPr>
        <w:t xml:space="preserve">Response: </w:t>
      </w:r>
      <w:r w:rsidRPr="004008FB">
        <w:t xml:space="preserve">Given the size of </w:t>
      </w:r>
      <w:r w:rsidR="008810AF">
        <w:t>the Project</w:t>
      </w:r>
      <w:r w:rsidRPr="004008FB">
        <w:t xml:space="preserve">, </w:t>
      </w:r>
      <w:r w:rsidR="0021185A">
        <w:t xml:space="preserve">the </w:t>
      </w:r>
      <w:r w:rsidRPr="004008FB">
        <w:t>Sites</w:t>
      </w:r>
      <w:r w:rsidR="0021185A">
        <w:t xml:space="preserve"> Project Authority (Authority)</w:t>
      </w:r>
      <w:r w:rsidRPr="004008FB">
        <w:t xml:space="preserve"> will rely on several mitigation strategies including a mix of mitigation banks and other mitigation mechanisms. The Project’s Mitigation and Monitoring Plan</w:t>
      </w:r>
      <w:r w:rsidR="00B07A73">
        <w:t xml:space="preserve"> (Plan)</w:t>
      </w:r>
      <w:r w:rsidRPr="004008FB">
        <w:t xml:space="preserve"> </w:t>
      </w:r>
      <w:r w:rsidR="001275B8">
        <w:t>is under development and</w:t>
      </w:r>
      <w:r w:rsidR="001275B8" w:rsidRPr="004008FB">
        <w:t xml:space="preserve"> </w:t>
      </w:r>
      <w:r w:rsidRPr="004008FB">
        <w:t xml:space="preserve">will </w:t>
      </w:r>
      <w:r w:rsidR="00B07A73">
        <w:t xml:space="preserve">be provided to the USFWS </w:t>
      </w:r>
      <w:r w:rsidR="00A9522E">
        <w:t xml:space="preserve">as part of </w:t>
      </w:r>
      <w:r w:rsidRPr="004008FB">
        <w:t xml:space="preserve">the </w:t>
      </w:r>
      <w:r w:rsidR="00A9522E">
        <w:t xml:space="preserve">Project’s Biological Assessment (anticipated summer 2022) and </w:t>
      </w:r>
      <w:r w:rsidR="00434A88">
        <w:t>Final EIR/EIS</w:t>
      </w:r>
      <w:r w:rsidRPr="004008FB">
        <w:t xml:space="preserve"> </w:t>
      </w:r>
      <w:r w:rsidR="00A9522E">
        <w:t>(anticipated early 2023)</w:t>
      </w:r>
      <w:r w:rsidR="00B07A73">
        <w:t xml:space="preserve">. The Plan </w:t>
      </w:r>
      <w:r w:rsidR="003B2912">
        <w:t>includes</w:t>
      </w:r>
      <w:r w:rsidR="00B07A73">
        <w:t xml:space="preserve"> </w:t>
      </w:r>
      <w:r w:rsidRPr="004008FB">
        <w:t>a comprehensive mitigation planning strategy</w:t>
      </w:r>
      <w:r w:rsidR="00B07A73">
        <w:t>,</w:t>
      </w:r>
      <w:r w:rsidRPr="004008FB">
        <w:t xml:space="preserve"> implementation approach </w:t>
      </w:r>
      <w:r w:rsidR="00B07A73">
        <w:t xml:space="preserve">and general criteria for species and habitats </w:t>
      </w:r>
      <w:r w:rsidRPr="004008FB">
        <w:t xml:space="preserve">based on anticipated </w:t>
      </w:r>
      <w:r w:rsidR="006D399A">
        <w:t>P</w:t>
      </w:r>
      <w:r w:rsidRPr="004008FB">
        <w:t xml:space="preserve">roject impacts on regulated biological resources. As access is currently limited to less than 1% of the Project </w:t>
      </w:r>
      <w:r w:rsidR="003B11C9">
        <w:t>A</w:t>
      </w:r>
      <w:r w:rsidR="003B11C9" w:rsidRPr="004008FB">
        <w:t>rea</w:t>
      </w:r>
      <w:r w:rsidRPr="004008FB">
        <w:t xml:space="preserve">, a final analysis of impacts will be conducted </w:t>
      </w:r>
      <w:r w:rsidR="00866399">
        <w:t xml:space="preserve">once land access is obtained and </w:t>
      </w:r>
      <w:r w:rsidRPr="004008FB">
        <w:t xml:space="preserve">following the </w:t>
      </w:r>
      <w:r w:rsidR="00E25DCE">
        <w:t>final refinements</w:t>
      </w:r>
      <w:r w:rsidRPr="004008FB">
        <w:t xml:space="preserve"> of </w:t>
      </w:r>
      <w:r w:rsidR="0021185A">
        <w:t>P</w:t>
      </w:r>
      <w:r w:rsidRPr="004008FB">
        <w:t>roject design and completion of on-the-ground</w:t>
      </w:r>
      <w:r w:rsidR="00326F34">
        <w:t>,</w:t>
      </w:r>
      <w:r w:rsidRPr="004008FB">
        <w:t xml:space="preserve"> protocol-level biological field surveys. </w:t>
      </w:r>
    </w:p>
    <w:p w14:paraId="53AB0996" w14:textId="79F92E13" w:rsidR="007B278F" w:rsidRDefault="006714A8" w:rsidP="0016537E">
      <w:pPr>
        <w:pStyle w:val="mainbodytext"/>
      </w:pPr>
      <w:r w:rsidRPr="004008FB">
        <w:t xml:space="preserve">Following completion of </w:t>
      </w:r>
      <w:r w:rsidR="00BC30D3" w:rsidRPr="004008FB">
        <w:t xml:space="preserve">Project </w:t>
      </w:r>
      <w:r w:rsidRPr="004008FB">
        <w:t>construction, temporary impacts will be mitigated through restoration</w:t>
      </w:r>
      <w:r w:rsidR="00BC30D3" w:rsidRPr="004008FB">
        <w:t xml:space="preserve"> and </w:t>
      </w:r>
      <w:r w:rsidRPr="004008FB">
        <w:t xml:space="preserve">revegetation of areas disturbed by construction </w:t>
      </w:r>
      <w:r w:rsidR="0021185A">
        <w:t xml:space="preserve">in </w:t>
      </w:r>
      <w:r w:rsidRPr="004008FB">
        <w:t>accord</w:t>
      </w:r>
      <w:r w:rsidR="0021185A">
        <w:t>ance with</w:t>
      </w:r>
      <w:r w:rsidRPr="004008FB">
        <w:t xml:space="preserve"> an approved habitat restoration plan. Permanent impacts will be mitigated on</w:t>
      </w:r>
      <w:r w:rsidR="00081D7E">
        <w:t xml:space="preserve"> </w:t>
      </w:r>
      <w:r w:rsidRPr="004008FB">
        <w:t xml:space="preserve">site and at </w:t>
      </w:r>
      <w:r w:rsidR="0033328D" w:rsidRPr="004008FB">
        <w:t>agency</w:t>
      </w:r>
      <w:r w:rsidR="009A0D5A">
        <w:t>-</w:t>
      </w:r>
      <w:r w:rsidR="0033328D" w:rsidRPr="004008FB">
        <w:t>approved</w:t>
      </w:r>
      <w:r w:rsidR="0041455E" w:rsidRPr="004008FB">
        <w:t xml:space="preserve"> (USFWS, </w:t>
      </w:r>
      <w:r w:rsidR="0061526B">
        <w:t>NMFS</w:t>
      </w:r>
      <w:r w:rsidR="0041455E" w:rsidRPr="004008FB">
        <w:t>, and/or CDFW)</w:t>
      </w:r>
      <w:r w:rsidRPr="004008FB">
        <w:t xml:space="preserve"> offsite locations. Onsite compensatory mitigation may include restoration (re-establishment or rehabilitation), establishment (creation), enhancement, and/or preservation of aquatic or </w:t>
      </w:r>
      <w:r w:rsidR="009A0D5A">
        <w:t xml:space="preserve">terrestrial </w:t>
      </w:r>
      <w:r w:rsidRPr="004008FB">
        <w:t>biological resources that occur within the</w:t>
      </w:r>
      <w:r w:rsidR="00BC30D3" w:rsidRPr="004008FB">
        <w:t xml:space="preserve"> proposed</w:t>
      </w:r>
      <w:r w:rsidRPr="004008FB">
        <w:t xml:space="preserve"> Project area. Offsite compensatory mitigation for the </w:t>
      </w:r>
      <w:r w:rsidR="0041455E" w:rsidRPr="004008FB">
        <w:t xml:space="preserve">proposed </w:t>
      </w:r>
      <w:r w:rsidRPr="004008FB">
        <w:t xml:space="preserve">Project may include the purchase of agency-approved mitigation/conservation bank credits, the establishment of third party-responsible “turn-key” mitigation/conservation bank projects, </w:t>
      </w:r>
      <w:r w:rsidRPr="004008FB">
        <w:rPr>
          <w:color w:val="000000"/>
          <w:lang w:eastAsia="x-none"/>
        </w:rPr>
        <w:t xml:space="preserve">preservation of biological resources through </w:t>
      </w:r>
      <w:r w:rsidRPr="004008FB">
        <w:t>conservation easements with private landowners, payments to in-lieu fee programs, or the establishment of</w:t>
      </w:r>
      <w:r w:rsidR="00090CBE">
        <w:t xml:space="preserve"> </w:t>
      </w:r>
      <w:r w:rsidRPr="004008FB">
        <w:t xml:space="preserve">permittee-responsible offsite mitigation sites. </w:t>
      </w:r>
      <w:r w:rsidR="007B278F">
        <w:t xml:space="preserve">The </w:t>
      </w:r>
      <w:r w:rsidR="0064437B">
        <w:t xml:space="preserve">methods for assessing resources in the project footprint, best management practices to be applied, tools available for mitigating effects of the </w:t>
      </w:r>
      <w:r w:rsidR="009D1D5F">
        <w:t>P</w:t>
      </w:r>
      <w:r w:rsidR="0064437B">
        <w:t xml:space="preserve">roject are discusses in chapters 9 – </w:t>
      </w:r>
      <w:r w:rsidR="0064437B" w:rsidRPr="00832008">
        <w:rPr>
          <w:i/>
          <w:iCs/>
        </w:rPr>
        <w:t>Vegetation and Wetland Resources</w:t>
      </w:r>
      <w:r w:rsidR="0064437B">
        <w:t xml:space="preserve">, and </w:t>
      </w:r>
      <w:r w:rsidR="002A0826">
        <w:t xml:space="preserve">10 – </w:t>
      </w:r>
      <w:r w:rsidR="002A0826" w:rsidRPr="00832008">
        <w:rPr>
          <w:i/>
          <w:iCs/>
        </w:rPr>
        <w:t>Wildlife Resources</w:t>
      </w:r>
      <w:r w:rsidR="002A0826">
        <w:t xml:space="preserve"> </w:t>
      </w:r>
      <w:r w:rsidR="00C54B40">
        <w:t xml:space="preserve">of the </w:t>
      </w:r>
      <w:r w:rsidR="002A0826" w:rsidRPr="002A0826">
        <w:t>RDEIR/SDEIS</w:t>
      </w:r>
      <w:r w:rsidR="002A0826">
        <w:t>.</w:t>
      </w:r>
      <w:r w:rsidR="007B278F">
        <w:t xml:space="preserve"> </w:t>
      </w:r>
    </w:p>
    <w:p w14:paraId="595D229F" w14:textId="647766AE" w:rsidR="006714A8" w:rsidRPr="004008FB" w:rsidRDefault="006714A8" w:rsidP="0016537E">
      <w:pPr>
        <w:pStyle w:val="mainbodytext"/>
      </w:pPr>
      <w:r w:rsidRPr="004008FB">
        <w:t xml:space="preserve">The Authority has conferred with USFWS about species habitat models and used this information to estimate mitigation obligations. The Authority expects to continue to work with USFWS and </w:t>
      </w:r>
      <w:r w:rsidR="0041455E" w:rsidRPr="004008FB">
        <w:t xml:space="preserve">Reclamation </w:t>
      </w:r>
      <w:r w:rsidRPr="004008FB">
        <w:t>as the</w:t>
      </w:r>
      <w:r w:rsidR="0041455E" w:rsidRPr="004008FB">
        <w:t xml:space="preserve"> P</w:t>
      </w:r>
      <w:r w:rsidRPr="004008FB">
        <w:t xml:space="preserve">roject moves </w:t>
      </w:r>
      <w:proofErr w:type="gramStart"/>
      <w:r w:rsidRPr="004008FB">
        <w:t>forward</w:t>
      </w:r>
      <w:proofErr w:type="gramEnd"/>
      <w:r w:rsidRPr="004008FB">
        <w:t xml:space="preserve"> and better information becomes available to define mitigation requirements.</w:t>
      </w:r>
    </w:p>
    <w:p w14:paraId="650615FC" w14:textId="4543B525" w:rsidR="006714A8" w:rsidRPr="004008FB" w:rsidRDefault="0041455E" w:rsidP="0016537E">
      <w:pPr>
        <w:pStyle w:val="mainbodytext"/>
      </w:pPr>
      <w:r w:rsidRPr="004008FB">
        <w:rPr>
          <w:b/>
          <w:bCs/>
        </w:rPr>
        <w:lastRenderedPageBreak/>
        <w:t xml:space="preserve">Key </w:t>
      </w:r>
      <w:r w:rsidR="002A0826">
        <w:rPr>
          <w:b/>
          <w:bCs/>
        </w:rPr>
        <w:t>Concern</w:t>
      </w:r>
      <w:r w:rsidR="006714A8" w:rsidRPr="004008FB">
        <w:t xml:space="preserve">: Provide a better description of how increases in </w:t>
      </w:r>
      <w:r w:rsidR="00016D9C">
        <w:t xml:space="preserve">Incremental </w:t>
      </w:r>
      <w:r w:rsidR="00CA39E0">
        <w:t>L</w:t>
      </w:r>
      <w:r w:rsidR="006714A8" w:rsidRPr="004008FB">
        <w:t xml:space="preserve">evel 4 refuge water will be provided and the expected benefit to migratory birds.  </w:t>
      </w:r>
    </w:p>
    <w:p w14:paraId="358657CA" w14:textId="1B27F6E9" w:rsidR="006714A8" w:rsidRPr="004008FB" w:rsidRDefault="006714A8" w:rsidP="00D22CD8">
      <w:pPr>
        <w:pStyle w:val="mainbodytext"/>
        <w:spacing w:after="160"/>
      </w:pPr>
      <w:r w:rsidRPr="004008FB">
        <w:rPr>
          <w:b/>
          <w:bCs/>
        </w:rPr>
        <w:t xml:space="preserve">Response: </w:t>
      </w:r>
      <w:r w:rsidR="007C4C4C">
        <w:t>Providing Incremental</w:t>
      </w:r>
      <w:r w:rsidRPr="004008FB">
        <w:t xml:space="preserve"> </w:t>
      </w:r>
      <w:r w:rsidR="00CA39E0">
        <w:t>L</w:t>
      </w:r>
      <w:r w:rsidRPr="004008FB">
        <w:t xml:space="preserve">evel 4 refuge water is an environmental benefit </w:t>
      </w:r>
      <w:r w:rsidR="00D35BF0">
        <w:t xml:space="preserve">of the Project </w:t>
      </w:r>
      <w:r w:rsidRPr="004008FB">
        <w:t>recognized by the California Water Commission in its authorization of State funding from the Water Storage Investment Program (WSIP</w:t>
      </w:r>
      <w:r w:rsidR="00D34B0A">
        <w:fldChar w:fldCharType="begin"/>
      </w:r>
      <w:r w:rsidR="00D34B0A">
        <w:instrText xml:space="preserve"> TC "Water Storage Investment Program (WSIP" \f A \l "1" </w:instrText>
      </w:r>
      <w:r w:rsidR="00D34B0A">
        <w:fldChar w:fldCharType="end"/>
      </w:r>
      <w:r w:rsidRPr="004008FB">
        <w:t xml:space="preserve">). The Authority envisions that CDFW will take an active role in managing the ecosystem water and </w:t>
      </w:r>
      <w:r w:rsidR="00B2226D">
        <w:t xml:space="preserve">the Authority </w:t>
      </w:r>
      <w:r w:rsidRPr="004008FB">
        <w:t xml:space="preserve">would work with CDFW to schedule and adjust releases of ecosystem water to address real-time conditions and needs. The Authority also recognizes that </w:t>
      </w:r>
      <w:r w:rsidR="006D65B6">
        <w:t>Incremental</w:t>
      </w:r>
      <w:r w:rsidR="006D65B6" w:rsidRPr="004008FB">
        <w:t xml:space="preserve"> </w:t>
      </w:r>
      <w:r w:rsidR="00CA39E0">
        <w:t>L</w:t>
      </w:r>
      <w:r w:rsidRPr="004008FB">
        <w:t xml:space="preserve">evel 4 refuge water </w:t>
      </w:r>
      <w:r w:rsidR="00A406A8">
        <w:t>would</w:t>
      </w:r>
      <w:r w:rsidR="00A406A8" w:rsidRPr="004008FB">
        <w:t xml:space="preserve"> </w:t>
      </w:r>
      <w:r w:rsidRPr="004008FB">
        <w:t xml:space="preserve">be made available to </w:t>
      </w:r>
      <w:r w:rsidR="00D37891">
        <w:t>f</w:t>
      </w:r>
      <w:r w:rsidRPr="004008FB">
        <w:t xml:space="preserve">ederal refuges north and south of the </w:t>
      </w:r>
      <w:r w:rsidR="00CA39E0">
        <w:t xml:space="preserve">Sacramento–San Joaquin </w:t>
      </w:r>
      <w:r w:rsidR="00225794">
        <w:t>D</w:t>
      </w:r>
      <w:r w:rsidRPr="004008FB">
        <w:t>elta</w:t>
      </w:r>
      <w:r w:rsidR="00CA39E0">
        <w:t xml:space="preserve"> (Delta</w:t>
      </w:r>
      <w:r w:rsidR="00D34B0A">
        <w:fldChar w:fldCharType="begin"/>
      </w:r>
      <w:r w:rsidR="00D34B0A">
        <w:instrText xml:space="preserve"> TC "Sacramento–San Joaquin Delta (Delta" \f A \l "1" </w:instrText>
      </w:r>
      <w:r w:rsidR="00D34B0A">
        <w:fldChar w:fldCharType="end"/>
      </w:r>
      <w:r w:rsidR="00CA39E0">
        <w:t>)</w:t>
      </w:r>
      <w:r w:rsidRPr="004008FB">
        <w:t xml:space="preserve"> and as such, expects th</w:t>
      </w:r>
      <w:r w:rsidR="00CA39E0">
        <w:t>at it</w:t>
      </w:r>
      <w:r w:rsidRPr="004008FB">
        <w:t xml:space="preserve"> would provide </w:t>
      </w:r>
      <w:r w:rsidR="003B5793">
        <w:t>Incremental</w:t>
      </w:r>
      <w:r w:rsidR="003B5793" w:rsidRPr="004008FB">
        <w:t xml:space="preserve"> </w:t>
      </w:r>
      <w:r w:rsidR="00CA39E0">
        <w:t>L</w:t>
      </w:r>
      <w:r w:rsidRPr="004008FB">
        <w:t>evel 4 water to appropriate destinations based on guidance from</w:t>
      </w:r>
      <w:r w:rsidR="00B07A73">
        <w:t>, and coordination with the</w:t>
      </w:r>
      <w:r w:rsidRPr="004008FB">
        <w:t xml:space="preserve"> CDFW, USFWS, and </w:t>
      </w:r>
      <w:r w:rsidR="00067F83" w:rsidRPr="004008FB">
        <w:t>Reclamation</w:t>
      </w:r>
      <w:r w:rsidRPr="004008FB">
        <w:t xml:space="preserve">. </w:t>
      </w:r>
      <w:r w:rsidR="00973898">
        <w:t>The Authority understands that Reclamation and CDFW have a</w:t>
      </w:r>
      <w:r w:rsidR="00F01442">
        <w:t>n existing methodology to allocate Incremental Level 4 refuge water</w:t>
      </w:r>
      <w:r w:rsidR="00C34C42">
        <w:t xml:space="preserve"> to the </w:t>
      </w:r>
      <w:r w:rsidR="00FB0AE1" w:rsidRPr="004008FB">
        <w:t>National Wildlife Refuges, State Wildlife Areas, and privately managed wetlands</w:t>
      </w:r>
      <w:r w:rsidR="00FB0AE1">
        <w:t xml:space="preserve"> included in </w:t>
      </w:r>
      <w:r w:rsidR="00FB0AE1" w:rsidRPr="00F02C07">
        <w:t xml:space="preserve">Central Valley </w:t>
      </w:r>
      <w:r w:rsidR="00FB0AE1">
        <w:t xml:space="preserve">Project </w:t>
      </w:r>
      <w:r w:rsidR="00FB0AE1" w:rsidRPr="00F02C07">
        <w:t>Improvement Act Refuge Water Supply Program</w:t>
      </w:r>
      <w:r w:rsidR="00FB0AE1">
        <w:t xml:space="preserve">. </w:t>
      </w:r>
      <w:r w:rsidR="005524EA">
        <w:t xml:space="preserve">The Authority anticipates that CDFW and Reclamation would allocate the </w:t>
      </w:r>
      <w:r w:rsidR="00273F98">
        <w:t>Incremental</w:t>
      </w:r>
      <w:r w:rsidR="00273F98" w:rsidRPr="004008FB">
        <w:t xml:space="preserve"> </w:t>
      </w:r>
      <w:r w:rsidR="00273F98">
        <w:t>L</w:t>
      </w:r>
      <w:r w:rsidR="00273F98" w:rsidRPr="004008FB">
        <w:t xml:space="preserve">evel 4 refuge water </w:t>
      </w:r>
      <w:r w:rsidR="0081576E">
        <w:t xml:space="preserve">that results from the </w:t>
      </w:r>
      <w:r w:rsidR="005524EA">
        <w:t>Project</w:t>
      </w:r>
      <w:r w:rsidR="0081576E">
        <w:t xml:space="preserve"> in the same way they allocate all Incremental</w:t>
      </w:r>
      <w:r w:rsidR="0081576E" w:rsidRPr="004008FB">
        <w:t xml:space="preserve"> </w:t>
      </w:r>
      <w:r w:rsidR="0081576E">
        <w:t>L</w:t>
      </w:r>
      <w:r w:rsidR="0081576E" w:rsidRPr="004008FB">
        <w:t>evel 4 refuge water</w:t>
      </w:r>
      <w:r w:rsidR="0081576E">
        <w:t>.</w:t>
      </w:r>
      <w:r w:rsidR="005524EA">
        <w:t xml:space="preserve"> </w:t>
      </w:r>
    </w:p>
    <w:p w14:paraId="7DE2A1CB" w14:textId="22A4962E" w:rsidR="006714A8" w:rsidRDefault="006714A8" w:rsidP="00D22CD8">
      <w:pPr>
        <w:pStyle w:val="mainbodytext"/>
        <w:spacing w:after="160"/>
      </w:pPr>
      <w:r w:rsidRPr="004008FB">
        <w:t xml:space="preserve">Table 1 below is </w:t>
      </w:r>
      <w:r w:rsidR="00225794">
        <w:t xml:space="preserve">from </w:t>
      </w:r>
      <w:r w:rsidRPr="004008FB">
        <w:t xml:space="preserve">the </w:t>
      </w:r>
      <w:r w:rsidR="00FD31E9">
        <w:t>Authority’s</w:t>
      </w:r>
      <w:r w:rsidRPr="004008FB">
        <w:t xml:space="preserve"> </w:t>
      </w:r>
      <w:r w:rsidR="00225794" w:rsidRPr="00E25DCE">
        <w:rPr>
          <w:i/>
          <w:iCs/>
        </w:rPr>
        <w:t>Water Storage Investment Program: Sites Reservoir Project Continuing Eligibility and Feasibility Determination</w:t>
      </w:r>
      <w:r w:rsidR="00225794" w:rsidRPr="004008FB">
        <w:t xml:space="preserve"> </w:t>
      </w:r>
      <w:r w:rsidR="00CA39E0">
        <w:t xml:space="preserve">report </w:t>
      </w:r>
      <w:r w:rsidR="00225794">
        <w:t>(</w:t>
      </w:r>
      <w:r w:rsidR="007C0B25">
        <w:t>Authority</w:t>
      </w:r>
      <w:r w:rsidR="00225794">
        <w:t xml:space="preserve"> </w:t>
      </w:r>
      <w:r w:rsidRPr="004008FB">
        <w:t>2021</w:t>
      </w:r>
      <w:r w:rsidR="00D34B0A">
        <w:fldChar w:fldCharType="begin"/>
      </w:r>
      <w:r w:rsidR="00D34B0A">
        <w:instrText xml:space="preserve"> TC "</w:instrText>
      </w:r>
      <w:r w:rsidR="007C0B25">
        <w:instrText>Authority</w:instrText>
      </w:r>
      <w:r w:rsidR="00D34B0A">
        <w:instrText xml:space="preserve"> 2021" \f C \l "1" </w:instrText>
      </w:r>
      <w:r w:rsidR="00D34B0A">
        <w:fldChar w:fldCharType="end"/>
      </w:r>
      <w:r w:rsidRPr="004008FB">
        <w:t>). It identifies the</w:t>
      </w:r>
      <w:r w:rsidR="00067F83" w:rsidRPr="004008FB">
        <w:t xml:space="preserve"> </w:t>
      </w:r>
      <w:r w:rsidRPr="004008FB">
        <w:t xml:space="preserve">Project’s Incremental Level 4 </w:t>
      </w:r>
      <w:r w:rsidR="00B55AB1">
        <w:t>r</w:t>
      </w:r>
      <w:r w:rsidRPr="004008FB">
        <w:t xml:space="preserve">efuge water supply benefits in terms of water supply increases to National Wildlife Refuges, State Wildlife Areas, and privately managed wetlands projected in 2030 and 2070 as estimated based on WSIP Unit Water Values. </w:t>
      </w:r>
      <w:r w:rsidR="001B612B" w:rsidRPr="001B612B">
        <w:t xml:space="preserve">Incremental Level 4 represents the additional increment of water required for optimal wetland habitat development </w:t>
      </w:r>
      <w:r w:rsidR="00F54A94">
        <w:t xml:space="preserve">on the </w:t>
      </w:r>
      <w:r w:rsidR="00F54A94" w:rsidRPr="004008FB">
        <w:t>National Wildlife Refuges, State Wildlife Areas, and privately managed wetlands</w:t>
      </w:r>
      <w:r w:rsidR="00F54A94">
        <w:t xml:space="preserve"> included in </w:t>
      </w:r>
      <w:r w:rsidR="00F54A94" w:rsidRPr="00F02C07">
        <w:t xml:space="preserve">Central Valley </w:t>
      </w:r>
      <w:r w:rsidR="00F54A94">
        <w:t xml:space="preserve">Project </w:t>
      </w:r>
      <w:r w:rsidR="00F54A94" w:rsidRPr="00F02C07">
        <w:t>Improvement Act Refuge Water Supply Program</w:t>
      </w:r>
      <w:r w:rsidR="00F54A94">
        <w:t xml:space="preserve">. </w:t>
      </w:r>
      <w:r w:rsidR="0019402C">
        <w:t xml:space="preserve">The benefits to migratory birds of </w:t>
      </w:r>
      <w:r w:rsidR="0073465A" w:rsidRPr="004008FB">
        <w:t xml:space="preserve">Incremental Level 4 </w:t>
      </w:r>
      <w:r w:rsidR="00B55AB1">
        <w:t>r</w:t>
      </w:r>
      <w:r w:rsidR="0073465A" w:rsidRPr="004008FB">
        <w:t>efuge water supply</w:t>
      </w:r>
      <w:r w:rsidR="0073465A">
        <w:t xml:space="preserve"> were identified </w:t>
      </w:r>
      <w:r w:rsidR="00F54A94">
        <w:t>as part of the original foundation</w:t>
      </w:r>
      <w:r w:rsidR="00B71763">
        <w:t>al</w:t>
      </w:r>
      <w:r w:rsidR="00F54A94">
        <w:t xml:space="preserve"> documents of the Central Valley Project Improvement Act and differ for each individual </w:t>
      </w:r>
      <w:r w:rsidR="00F54A94" w:rsidRPr="004008FB">
        <w:t>National Wildlife Refuge, State Wildlife Area, and privately managed wetland</w:t>
      </w:r>
      <w:r w:rsidR="00F54A94">
        <w:t>.</w:t>
      </w:r>
    </w:p>
    <w:p w14:paraId="7A65D889" w14:textId="726675FA" w:rsidR="006714A8" w:rsidRPr="004008FB" w:rsidRDefault="006714A8" w:rsidP="00D22CD8">
      <w:pPr>
        <w:pStyle w:val="TableTitle"/>
        <w:spacing w:before="120"/>
      </w:pPr>
      <w:bookmarkStart w:id="7" w:name="_Ref75190781"/>
      <w:bookmarkStart w:id="8" w:name="_Toc74248454"/>
      <w:bookmarkStart w:id="9" w:name="_Toc86841210"/>
      <w:r w:rsidRPr="004008FB">
        <w:t xml:space="preserve">Table </w:t>
      </w:r>
      <w:bookmarkEnd w:id="7"/>
      <w:r w:rsidRPr="004008FB">
        <w:t xml:space="preserve">1. </w:t>
      </w:r>
      <w:r w:rsidR="00FB2635">
        <w:t xml:space="preserve">Sites Reservoir Project </w:t>
      </w:r>
      <w:r w:rsidRPr="004008FB">
        <w:t>Incremental Level 4 Refuge Water Supply Increases (2030 and 2070) (TAF/year)</w:t>
      </w:r>
      <w:bookmarkEnd w:id="8"/>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347"/>
        <w:gridCol w:w="2255"/>
        <w:gridCol w:w="2549"/>
        <w:gridCol w:w="2199"/>
      </w:tblGrid>
      <w:tr w:rsidR="004008FB" w:rsidRPr="0016537E" w14:paraId="20C225AA" w14:textId="77777777" w:rsidTr="00DD3A9E">
        <w:trPr>
          <w:tblHeader/>
        </w:trPr>
        <w:tc>
          <w:tcPr>
            <w:tcW w:w="1255" w:type="pct"/>
            <w:shd w:val="clear" w:color="auto" w:fill="auto"/>
            <w:vAlign w:val="bottom"/>
            <w:hideMark/>
          </w:tcPr>
          <w:p w14:paraId="30310046" w14:textId="77777777" w:rsidR="006714A8" w:rsidRPr="0016537E" w:rsidRDefault="006714A8" w:rsidP="0016537E">
            <w:pPr>
              <w:pStyle w:val="TableText0"/>
              <w:jc w:val="center"/>
              <w:rPr>
                <w:b/>
                <w:bCs/>
              </w:rPr>
            </w:pPr>
            <w:r w:rsidRPr="0016537E">
              <w:rPr>
                <w:b/>
                <w:bCs/>
              </w:rPr>
              <w:t>Period</w:t>
            </w:r>
          </w:p>
        </w:tc>
        <w:tc>
          <w:tcPr>
            <w:tcW w:w="1206" w:type="pct"/>
            <w:shd w:val="clear" w:color="auto" w:fill="auto"/>
            <w:vAlign w:val="bottom"/>
            <w:hideMark/>
          </w:tcPr>
          <w:p w14:paraId="62E444AF" w14:textId="77777777" w:rsidR="006714A8" w:rsidRPr="0016537E" w:rsidRDefault="006714A8" w:rsidP="0016537E">
            <w:pPr>
              <w:pStyle w:val="TableText0"/>
              <w:jc w:val="center"/>
              <w:rPr>
                <w:b/>
                <w:bCs/>
              </w:rPr>
            </w:pPr>
            <w:r w:rsidRPr="0016537E">
              <w:rPr>
                <w:b/>
                <w:bCs/>
              </w:rPr>
              <w:t>North-of-the-Delta</w:t>
            </w:r>
          </w:p>
        </w:tc>
        <w:tc>
          <w:tcPr>
            <w:tcW w:w="1363" w:type="pct"/>
            <w:shd w:val="clear" w:color="auto" w:fill="auto"/>
            <w:vAlign w:val="bottom"/>
            <w:hideMark/>
          </w:tcPr>
          <w:p w14:paraId="6A2BE3CF" w14:textId="77777777" w:rsidR="006714A8" w:rsidRPr="0016537E" w:rsidRDefault="006714A8" w:rsidP="0016537E">
            <w:pPr>
              <w:pStyle w:val="TableText0"/>
              <w:jc w:val="center"/>
              <w:rPr>
                <w:b/>
                <w:bCs/>
              </w:rPr>
            </w:pPr>
            <w:r w:rsidRPr="0016537E">
              <w:rPr>
                <w:b/>
                <w:bCs/>
              </w:rPr>
              <w:t>South-of-the-Delta</w:t>
            </w:r>
            <w:r w:rsidRPr="0016537E">
              <w:rPr>
                <w:rStyle w:val="Superscript"/>
                <w:b/>
                <w:bCs/>
              </w:rPr>
              <w:t xml:space="preserve"> (b)</w:t>
            </w:r>
          </w:p>
        </w:tc>
        <w:tc>
          <w:tcPr>
            <w:tcW w:w="1176" w:type="pct"/>
            <w:shd w:val="clear" w:color="auto" w:fill="auto"/>
            <w:vAlign w:val="bottom"/>
            <w:hideMark/>
          </w:tcPr>
          <w:p w14:paraId="30CF6E2B" w14:textId="77777777" w:rsidR="006714A8" w:rsidRPr="0016537E" w:rsidRDefault="006714A8" w:rsidP="0016537E">
            <w:pPr>
              <w:pStyle w:val="TableText0"/>
              <w:jc w:val="center"/>
              <w:rPr>
                <w:b/>
                <w:bCs/>
              </w:rPr>
            </w:pPr>
            <w:r w:rsidRPr="0016537E">
              <w:rPr>
                <w:b/>
                <w:bCs/>
              </w:rPr>
              <w:t>Total</w:t>
            </w:r>
          </w:p>
        </w:tc>
      </w:tr>
      <w:tr w:rsidR="004008FB" w:rsidRPr="0016537E" w14:paraId="4DAC9B16" w14:textId="77777777" w:rsidTr="00DD3A9E">
        <w:tc>
          <w:tcPr>
            <w:tcW w:w="5000" w:type="pct"/>
            <w:gridSpan w:val="4"/>
            <w:shd w:val="clear" w:color="auto" w:fill="auto"/>
            <w:vAlign w:val="center"/>
          </w:tcPr>
          <w:p w14:paraId="532BAD85" w14:textId="77777777" w:rsidR="006714A8" w:rsidRPr="0016537E" w:rsidRDefault="006714A8" w:rsidP="0016537E">
            <w:pPr>
              <w:pStyle w:val="TableText0"/>
              <w:rPr>
                <w:b/>
                <w:bCs/>
              </w:rPr>
            </w:pPr>
            <w:r w:rsidRPr="0016537E">
              <w:rPr>
                <w:b/>
                <w:bCs/>
              </w:rPr>
              <w:t>2030 Results</w:t>
            </w:r>
          </w:p>
        </w:tc>
      </w:tr>
      <w:tr w:rsidR="004008FB" w:rsidRPr="004008FB" w14:paraId="555B5B9D" w14:textId="77777777" w:rsidTr="00DD3A9E">
        <w:tc>
          <w:tcPr>
            <w:tcW w:w="1255" w:type="pct"/>
            <w:shd w:val="clear" w:color="auto" w:fill="auto"/>
            <w:vAlign w:val="center"/>
            <w:hideMark/>
          </w:tcPr>
          <w:p w14:paraId="71C677AD" w14:textId="77777777" w:rsidR="006714A8" w:rsidRPr="004008FB" w:rsidRDefault="006714A8" w:rsidP="00DD3A9E">
            <w:pPr>
              <w:pStyle w:val="TableText0"/>
              <w:spacing w:before="20" w:after="20"/>
            </w:pPr>
            <w:r w:rsidRPr="004008FB">
              <w:t xml:space="preserve">Long-Term Average </w:t>
            </w:r>
            <w:r w:rsidRPr="004008FB">
              <w:rPr>
                <w:vertAlign w:val="superscript"/>
              </w:rPr>
              <w:t>(a)</w:t>
            </w:r>
          </w:p>
        </w:tc>
        <w:tc>
          <w:tcPr>
            <w:tcW w:w="1206" w:type="pct"/>
            <w:shd w:val="clear" w:color="auto" w:fill="auto"/>
            <w:vAlign w:val="center"/>
            <w:hideMark/>
          </w:tcPr>
          <w:p w14:paraId="65EA1C22" w14:textId="77777777" w:rsidR="006714A8" w:rsidRPr="004008FB" w:rsidRDefault="006714A8" w:rsidP="00DD3A9E">
            <w:pPr>
              <w:pStyle w:val="TableText0"/>
              <w:spacing w:before="20" w:after="20"/>
              <w:jc w:val="center"/>
            </w:pPr>
            <w:r w:rsidRPr="004008FB">
              <w:t>5</w:t>
            </w:r>
          </w:p>
        </w:tc>
        <w:tc>
          <w:tcPr>
            <w:tcW w:w="1363" w:type="pct"/>
            <w:shd w:val="clear" w:color="auto" w:fill="auto"/>
            <w:vAlign w:val="center"/>
            <w:hideMark/>
          </w:tcPr>
          <w:p w14:paraId="614640F5" w14:textId="77777777" w:rsidR="006714A8" w:rsidRPr="004008FB" w:rsidRDefault="006714A8" w:rsidP="00DD3A9E">
            <w:pPr>
              <w:pStyle w:val="TableText0"/>
              <w:spacing w:before="20" w:after="20"/>
              <w:jc w:val="center"/>
            </w:pPr>
            <w:r w:rsidRPr="004008FB">
              <w:t>11</w:t>
            </w:r>
          </w:p>
        </w:tc>
        <w:tc>
          <w:tcPr>
            <w:tcW w:w="1176" w:type="pct"/>
            <w:shd w:val="clear" w:color="auto" w:fill="auto"/>
            <w:vAlign w:val="center"/>
            <w:hideMark/>
          </w:tcPr>
          <w:p w14:paraId="5F36D377" w14:textId="77777777" w:rsidR="006714A8" w:rsidRPr="004008FB" w:rsidRDefault="006714A8" w:rsidP="00DD3A9E">
            <w:pPr>
              <w:pStyle w:val="TableText0"/>
              <w:spacing w:before="20" w:after="20"/>
              <w:jc w:val="center"/>
            </w:pPr>
            <w:r w:rsidRPr="004008FB">
              <w:t>17</w:t>
            </w:r>
          </w:p>
        </w:tc>
      </w:tr>
      <w:tr w:rsidR="004008FB" w:rsidRPr="004008FB" w14:paraId="75EB32BE" w14:textId="77777777" w:rsidTr="00DD3A9E">
        <w:tc>
          <w:tcPr>
            <w:tcW w:w="1255" w:type="pct"/>
            <w:shd w:val="clear" w:color="auto" w:fill="auto"/>
            <w:vAlign w:val="center"/>
            <w:hideMark/>
          </w:tcPr>
          <w:p w14:paraId="2CD678A4" w14:textId="77777777" w:rsidR="006714A8" w:rsidRPr="004008FB" w:rsidRDefault="006714A8" w:rsidP="00DD3A9E">
            <w:pPr>
              <w:pStyle w:val="TableText0"/>
              <w:spacing w:before="20" w:after="20"/>
            </w:pPr>
            <w:r w:rsidRPr="004008FB">
              <w:t>Wet</w:t>
            </w:r>
          </w:p>
        </w:tc>
        <w:tc>
          <w:tcPr>
            <w:tcW w:w="1206" w:type="pct"/>
            <w:shd w:val="clear" w:color="auto" w:fill="auto"/>
            <w:vAlign w:val="center"/>
            <w:hideMark/>
          </w:tcPr>
          <w:p w14:paraId="3ADF06EB" w14:textId="77777777" w:rsidR="006714A8" w:rsidRPr="004008FB" w:rsidRDefault="006714A8" w:rsidP="00DD3A9E">
            <w:pPr>
              <w:pStyle w:val="TableText0"/>
              <w:spacing w:before="20" w:after="20"/>
              <w:jc w:val="center"/>
            </w:pPr>
            <w:r w:rsidRPr="004008FB">
              <w:t>0</w:t>
            </w:r>
          </w:p>
        </w:tc>
        <w:tc>
          <w:tcPr>
            <w:tcW w:w="1363" w:type="pct"/>
            <w:shd w:val="clear" w:color="auto" w:fill="auto"/>
            <w:vAlign w:val="center"/>
            <w:hideMark/>
          </w:tcPr>
          <w:p w14:paraId="191928F6" w14:textId="77777777" w:rsidR="006714A8" w:rsidRPr="004008FB" w:rsidRDefault="006714A8" w:rsidP="00DD3A9E">
            <w:pPr>
              <w:pStyle w:val="TableText0"/>
              <w:spacing w:before="20" w:after="20"/>
              <w:jc w:val="center"/>
            </w:pPr>
            <w:r w:rsidRPr="004008FB">
              <w:t>0</w:t>
            </w:r>
          </w:p>
        </w:tc>
        <w:tc>
          <w:tcPr>
            <w:tcW w:w="1176" w:type="pct"/>
            <w:shd w:val="clear" w:color="auto" w:fill="auto"/>
            <w:vAlign w:val="center"/>
            <w:hideMark/>
          </w:tcPr>
          <w:p w14:paraId="754512B2" w14:textId="77777777" w:rsidR="006714A8" w:rsidRPr="004008FB" w:rsidRDefault="006714A8" w:rsidP="00DD3A9E">
            <w:pPr>
              <w:pStyle w:val="TableText0"/>
              <w:spacing w:before="20" w:after="20"/>
              <w:jc w:val="center"/>
            </w:pPr>
            <w:r w:rsidRPr="004008FB">
              <w:t>0</w:t>
            </w:r>
          </w:p>
        </w:tc>
      </w:tr>
      <w:tr w:rsidR="004008FB" w:rsidRPr="004008FB" w14:paraId="62A0B8E0" w14:textId="77777777" w:rsidTr="00DD3A9E">
        <w:tc>
          <w:tcPr>
            <w:tcW w:w="1255" w:type="pct"/>
            <w:shd w:val="clear" w:color="auto" w:fill="auto"/>
            <w:vAlign w:val="center"/>
            <w:hideMark/>
          </w:tcPr>
          <w:p w14:paraId="5B069B6F" w14:textId="77777777" w:rsidR="006714A8" w:rsidRPr="004008FB" w:rsidRDefault="006714A8" w:rsidP="00DD3A9E">
            <w:pPr>
              <w:pStyle w:val="TableText0"/>
              <w:spacing w:before="20" w:after="20"/>
            </w:pPr>
            <w:r w:rsidRPr="004008FB">
              <w:t>Above Normal</w:t>
            </w:r>
          </w:p>
        </w:tc>
        <w:tc>
          <w:tcPr>
            <w:tcW w:w="1206" w:type="pct"/>
            <w:shd w:val="clear" w:color="auto" w:fill="auto"/>
            <w:vAlign w:val="center"/>
            <w:hideMark/>
          </w:tcPr>
          <w:p w14:paraId="2785C745" w14:textId="77777777" w:rsidR="006714A8" w:rsidRPr="004008FB" w:rsidRDefault="006714A8" w:rsidP="00DD3A9E">
            <w:pPr>
              <w:pStyle w:val="TableText0"/>
              <w:spacing w:before="20" w:after="20"/>
              <w:jc w:val="center"/>
            </w:pPr>
            <w:r w:rsidRPr="004008FB">
              <w:t>9</w:t>
            </w:r>
          </w:p>
        </w:tc>
        <w:tc>
          <w:tcPr>
            <w:tcW w:w="1363" w:type="pct"/>
            <w:shd w:val="clear" w:color="auto" w:fill="auto"/>
            <w:vAlign w:val="center"/>
            <w:hideMark/>
          </w:tcPr>
          <w:p w14:paraId="523A62A7" w14:textId="77777777" w:rsidR="006714A8" w:rsidRPr="004008FB" w:rsidRDefault="006714A8" w:rsidP="00DD3A9E">
            <w:pPr>
              <w:pStyle w:val="TableText0"/>
              <w:spacing w:before="20" w:after="20"/>
              <w:jc w:val="center"/>
            </w:pPr>
            <w:r w:rsidRPr="004008FB">
              <w:t>5</w:t>
            </w:r>
          </w:p>
        </w:tc>
        <w:tc>
          <w:tcPr>
            <w:tcW w:w="1176" w:type="pct"/>
            <w:shd w:val="clear" w:color="auto" w:fill="auto"/>
            <w:vAlign w:val="center"/>
            <w:hideMark/>
          </w:tcPr>
          <w:p w14:paraId="24E7908A" w14:textId="77777777" w:rsidR="006714A8" w:rsidRPr="004008FB" w:rsidRDefault="006714A8" w:rsidP="00DD3A9E">
            <w:pPr>
              <w:pStyle w:val="TableText0"/>
              <w:spacing w:before="20" w:after="20"/>
              <w:jc w:val="center"/>
            </w:pPr>
            <w:r w:rsidRPr="004008FB">
              <w:t>14</w:t>
            </w:r>
          </w:p>
        </w:tc>
      </w:tr>
      <w:tr w:rsidR="004008FB" w:rsidRPr="004008FB" w14:paraId="71564C59" w14:textId="77777777" w:rsidTr="00DD3A9E">
        <w:tc>
          <w:tcPr>
            <w:tcW w:w="1255" w:type="pct"/>
            <w:shd w:val="clear" w:color="auto" w:fill="auto"/>
            <w:vAlign w:val="center"/>
            <w:hideMark/>
          </w:tcPr>
          <w:p w14:paraId="4AE152CC" w14:textId="77777777" w:rsidR="006714A8" w:rsidRPr="004008FB" w:rsidRDefault="006714A8" w:rsidP="00DD3A9E">
            <w:pPr>
              <w:pStyle w:val="TableText0"/>
              <w:spacing w:before="20" w:after="20"/>
            </w:pPr>
            <w:r w:rsidRPr="004008FB">
              <w:t>Below Normal</w:t>
            </w:r>
          </w:p>
        </w:tc>
        <w:tc>
          <w:tcPr>
            <w:tcW w:w="1206" w:type="pct"/>
            <w:shd w:val="clear" w:color="auto" w:fill="auto"/>
            <w:vAlign w:val="center"/>
            <w:hideMark/>
          </w:tcPr>
          <w:p w14:paraId="41324BC1" w14:textId="77777777" w:rsidR="006714A8" w:rsidRPr="004008FB" w:rsidRDefault="006714A8" w:rsidP="00DD3A9E">
            <w:pPr>
              <w:pStyle w:val="TableText0"/>
              <w:spacing w:before="20" w:after="20"/>
              <w:jc w:val="center"/>
            </w:pPr>
            <w:r w:rsidRPr="004008FB">
              <w:t>9</w:t>
            </w:r>
          </w:p>
        </w:tc>
        <w:tc>
          <w:tcPr>
            <w:tcW w:w="1363" w:type="pct"/>
            <w:shd w:val="clear" w:color="auto" w:fill="auto"/>
            <w:vAlign w:val="center"/>
            <w:hideMark/>
          </w:tcPr>
          <w:p w14:paraId="4190F751" w14:textId="77777777" w:rsidR="006714A8" w:rsidRPr="004008FB" w:rsidRDefault="006714A8" w:rsidP="00DD3A9E">
            <w:pPr>
              <w:pStyle w:val="TableText0"/>
              <w:spacing w:before="20" w:after="20"/>
              <w:jc w:val="center"/>
            </w:pPr>
            <w:r w:rsidRPr="004008FB">
              <w:t>13</w:t>
            </w:r>
          </w:p>
        </w:tc>
        <w:tc>
          <w:tcPr>
            <w:tcW w:w="1176" w:type="pct"/>
            <w:shd w:val="clear" w:color="auto" w:fill="auto"/>
            <w:vAlign w:val="center"/>
            <w:hideMark/>
          </w:tcPr>
          <w:p w14:paraId="716CADD9" w14:textId="77777777" w:rsidR="006714A8" w:rsidRPr="004008FB" w:rsidRDefault="006714A8" w:rsidP="00DD3A9E">
            <w:pPr>
              <w:pStyle w:val="TableText0"/>
              <w:spacing w:before="20" w:after="20"/>
              <w:jc w:val="center"/>
            </w:pPr>
            <w:r w:rsidRPr="004008FB">
              <w:t>22</w:t>
            </w:r>
          </w:p>
        </w:tc>
      </w:tr>
      <w:tr w:rsidR="004008FB" w:rsidRPr="004008FB" w14:paraId="362518FD" w14:textId="77777777" w:rsidTr="00DD3A9E">
        <w:tc>
          <w:tcPr>
            <w:tcW w:w="1255" w:type="pct"/>
            <w:shd w:val="clear" w:color="auto" w:fill="auto"/>
            <w:vAlign w:val="center"/>
            <w:hideMark/>
          </w:tcPr>
          <w:p w14:paraId="16BBEF8A" w14:textId="77777777" w:rsidR="006714A8" w:rsidRPr="004008FB" w:rsidRDefault="006714A8" w:rsidP="00DD3A9E">
            <w:pPr>
              <w:pStyle w:val="TableText0"/>
              <w:spacing w:before="20" w:after="20"/>
            </w:pPr>
            <w:r w:rsidRPr="004008FB">
              <w:t>Dry</w:t>
            </w:r>
          </w:p>
        </w:tc>
        <w:tc>
          <w:tcPr>
            <w:tcW w:w="1206" w:type="pct"/>
            <w:shd w:val="clear" w:color="auto" w:fill="auto"/>
            <w:vAlign w:val="center"/>
            <w:hideMark/>
          </w:tcPr>
          <w:p w14:paraId="42E148B1" w14:textId="77777777" w:rsidR="006714A8" w:rsidRPr="004008FB" w:rsidRDefault="006714A8" w:rsidP="00DD3A9E">
            <w:pPr>
              <w:pStyle w:val="TableText0"/>
              <w:spacing w:before="20" w:after="20"/>
              <w:jc w:val="center"/>
            </w:pPr>
            <w:r w:rsidRPr="004008FB">
              <w:t>8</w:t>
            </w:r>
          </w:p>
        </w:tc>
        <w:tc>
          <w:tcPr>
            <w:tcW w:w="1363" w:type="pct"/>
            <w:shd w:val="clear" w:color="auto" w:fill="auto"/>
            <w:vAlign w:val="center"/>
            <w:hideMark/>
          </w:tcPr>
          <w:p w14:paraId="57AE73AF" w14:textId="77777777" w:rsidR="006714A8" w:rsidRPr="004008FB" w:rsidRDefault="006714A8" w:rsidP="00DD3A9E">
            <w:pPr>
              <w:pStyle w:val="TableText0"/>
              <w:spacing w:before="20" w:after="20"/>
              <w:jc w:val="center"/>
            </w:pPr>
            <w:r w:rsidRPr="004008FB">
              <w:t>27</w:t>
            </w:r>
          </w:p>
        </w:tc>
        <w:tc>
          <w:tcPr>
            <w:tcW w:w="1176" w:type="pct"/>
            <w:shd w:val="clear" w:color="auto" w:fill="auto"/>
            <w:vAlign w:val="center"/>
            <w:hideMark/>
          </w:tcPr>
          <w:p w14:paraId="5A98E20E" w14:textId="77777777" w:rsidR="006714A8" w:rsidRPr="004008FB" w:rsidRDefault="006714A8" w:rsidP="00DD3A9E">
            <w:pPr>
              <w:pStyle w:val="TableText0"/>
              <w:spacing w:before="20" w:after="20"/>
              <w:jc w:val="center"/>
            </w:pPr>
            <w:r w:rsidRPr="004008FB">
              <w:t>34</w:t>
            </w:r>
          </w:p>
        </w:tc>
      </w:tr>
      <w:tr w:rsidR="004008FB" w:rsidRPr="004008FB" w14:paraId="318D0C5A" w14:textId="77777777" w:rsidTr="00DD3A9E">
        <w:tc>
          <w:tcPr>
            <w:tcW w:w="1255" w:type="pct"/>
            <w:shd w:val="clear" w:color="auto" w:fill="auto"/>
            <w:vAlign w:val="center"/>
            <w:hideMark/>
          </w:tcPr>
          <w:p w14:paraId="483C7CF3" w14:textId="77777777" w:rsidR="006714A8" w:rsidRPr="004008FB" w:rsidRDefault="006714A8" w:rsidP="00DD3A9E">
            <w:pPr>
              <w:pStyle w:val="TableText0"/>
              <w:spacing w:before="20" w:after="20"/>
            </w:pPr>
            <w:r w:rsidRPr="004008FB">
              <w:t>Critical</w:t>
            </w:r>
          </w:p>
        </w:tc>
        <w:tc>
          <w:tcPr>
            <w:tcW w:w="1206" w:type="pct"/>
            <w:shd w:val="clear" w:color="auto" w:fill="auto"/>
            <w:vAlign w:val="center"/>
            <w:hideMark/>
          </w:tcPr>
          <w:p w14:paraId="5392445A" w14:textId="77777777" w:rsidR="006714A8" w:rsidRPr="004008FB" w:rsidRDefault="006714A8" w:rsidP="00DD3A9E">
            <w:pPr>
              <w:pStyle w:val="TableText0"/>
              <w:spacing w:before="20" w:after="20"/>
              <w:jc w:val="center"/>
            </w:pPr>
            <w:r w:rsidRPr="004008FB">
              <w:t>6</w:t>
            </w:r>
          </w:p>
        </w:tc>
        <w:tc>
          <w:tcPr>
            <w:tcW w:w="1363" w:type="pct"/>
            <w:shd w:val="clear" w:color="auto" w:fill="auto"/>
            <w:vAlign w:val="center"/>
            <w:hideMark/>
          </w:tcPr>
          <w:p w14:paraId="2D5514E0" w14:textId="77777777" w:rsidR="006714A8" w:rsidRPr="004008FB" w:rsidRDefault="006714A8" w:rsidP="00DD3A9E">
            <w:pPr>
              <w:pStyle w:val="TableText0"/>
              <w:spacing w:before="20" w:after="20"/>
              <w:jc w:val="center"/>
            </w:pPr>
            <w:r w:rsidRPr="004008FB">
              <w:t>17</w:t>
            </w:r>
          </w:p>
        </w:tc>
        <w:tc>
          <w:tcPr>
            <w:tcW w:w="1176" w:type="pct"/>
            <w:shd w:val="clear" w:color="auto" w:fill="auto"/>
            <w:vAlign w:val="center"/>
            <w:hideMark/>
          </w:tcPr>
          <w:p w14:paraId="340EA998" w14:textId="77777777" w:rsidR="006714A8" w:rsidRPr="004008FB" w:rsidRDefault="006714A8" w:rsidP="00DD3A9E">
            <w:pPr>
              <w:pStyle w:val="TableText0"/>
              <w:spacing w:before="20" w:after="20"/>
              <w:jc w:val="center"/>
            </w:pPr>
            <w:r w:rsidRPr="004008FB">
              <w:t>23</w:t>
            </w:r>
          </w:p>
        </w:tc>
      </w:tr>
      <w:tr w:rsidR="004008FB" w:rsidRPr="0016537E" w14:paraId="5A532077" w14:textId="77777777" w:rsidTr="00DD3A9E">
        <w:tc>
          <w:tcPr>
            <w:tcW w:w="5000" w:type="pct"/>
            <w:gridSpan w:val="4"/>
            <w:shd w:val="clear" w:color="auto" w:fill="auto"/>
            <w:vAlign w:val="center"/>
          </w:tcPr>
          <w:p w14:paraId="0B1FB443" w14:textId="77777777" w:rsidR="006714A8" w:rsidRPr="0016537E" w:rsidRDefault="006714A8" w:rsidP="0016537E">
            <w:pPr>
              <w:pStyle w:val="TableText0"/>
              <w:rPr>
                <w:b/>
                <w:bCs/>
              </w:rPr>
            </w:pPr>
            <w:r w:rsidRPr="0016537E">
              <w:rPr>
                <w:b/>
                <w:bCs/>
              </w:rPr>
              <w:t>2070 Results</w:t>
            </w:r>
          </w:p>
        </w:tc>
      </w:tr>
      <w:tr w:rsidR="004008FB" w:rsidRPr="004008FB" w14:paraId="7F050B40" w14:textId="77777777" w:rsidTr="00DD3A9E">
        <w:tc>
          <w:tcPr>
            <w:tcW w:w="1255" w:type="pct"/>
            <w:shd w:val="clear" w:color="auto" w:fill="auto"/>
            <w:vAlign w:val="center"/>
            <w:hideMark/>
          </w:tcPr>
          <w:p w14:paraId="421162ED" w14:textId="77777777" w:rsidR="006714A8" w:rsidRPr="004008FB" w:rsidRDefault="006714A8" w:rsidP="00DD3A9E">
            <w:pPr>
              <w:pStyle w:val="TableText0"/>
              <w:spacing w:before="20" w:after="20"/>
            </w:pPr>
            <w:r w:rsidRPr="004008FB">
              <w:t xml:space="preserve">Long-Term Average </w:t>
            </w:r>
            <w:r w:rsidRPr="004008FB">
              <w:rPr>
                <w:vertAlign w:val="superscript"/>
              </w:rPr>
              <w:t>(a)</w:t>
            </w:r>
          </w:p>
        </w:tc>
        <w:tc>
          <w:tcPr>
            <w:tcW w:w="1206" w:type="pct"/>
            <w:shd w:val="clear" w:color="auto" w:fill="auto"/>
            <w:vAlign w:val="center"/>
            <w:hideMark/>
          </w:tcPr>
          <w:p w14:paraId="300CF4F1" w14:textId="77777777" w:rsidR="006714A8" w:rsidRPr="004008FB" w:rsidRDefault="006714A8" w:rsidP="00DD3A9E">
            <w:pPr>
              <w:pStyle w:val="TableText0"/>
              <w:spacing w:before="20" w:after="20"/>
              <w:jc w:val="center"/>
            </w:pPr>
            <w:r w:rsidRPr="004008FB">
              <w:t>5</w:t>
            </w:r>
          </w:p>
        </w:tc>
        <w:tc>
          <w:tcPr>
            <w:tcW w:w="1363" w:type="pct"/>
            <w:shd w:val="clear" w:color="auto" w:fill="auto"/>
            <w:vAlign w:val="center"/>
            <w:hideMark/>
          </w:tcPr>
          <w:p w14:paraId="7C1D8907" w14:textId="77777777" w:rsidR="006714A8" w:rsidRPr="004008FB" w:rsidRDefault="006714A8" w:rsidP="00DD3A9E">
            <w:pPr>
              <w:pStyle w:val="TableText0"/>
              <w:spacing w:before="20" w:after="20"/>
              <w:jc w:val="center"/>
            </w:pPr>
            <w:r w:rsidRPr="004008FB">
              <w:t>10</w:t>
            </w:r>
          </w:p>
        </w:tc>
        <w:tc>
          <w:tcPr>
            <w:tcW w:w="1176" w:type="pct"/>
            <w:shd w:val="clear" w:color="auto" w:fill="auto"/>
            <w:vAlign w:val="center"/>
            <w:hideMark/>
          </w:tcPr>
          <w:p w14:paraId="141EDCB0" w14:textId="77777777" w:rsidR="006714A8" w:rsidRPr="004008FB" w:rsidRDefault="006714A8" w:rsidP="00DD3A9E">
            <w:pPr>
              <w:pStyle w:val="TableText0"/>
              <w:spacing w:before="20" w:after="20"/>
              <w:jc w:val="center"/>
            </w:pPr>
            <w:r w:rsidRPr="004008FB">
              <w:t>15</w:t>
            </w:r>
          </w:p>
        </w:tc>
      </w:tr>
      <w:tr w:rsidR="004008FB" w:rsidRPr="004008FB" w14:paraId="4200D71E" w14:textId="77777777" w:rsidTr="00DD3A9E">
        <w:tc>
          <w:tcPr>
            <w:tcW w:w="1255" w:type="pct"/>
            <w:shd w:val="clear" w:color="auto" w:fill="auto"/>
            <w:vAlign w:val="center"/>
            <w:hideMark/>
          </w:tcPr>
          <w:p w14:paraId="7F8D82BE" w14:textId="77777777" w:rsidR="006714A8" w:rsidRPr="004008FB" w:rsidRDefault="006714A8" w:rsidP="00DD3A9E">
            <w:pPr>
              <w:pStyle w:val="TableText0"/>
              <w:spacing w:before="20" w:after="20"/>
            </w:pPr>
            <w:r w:rsidRPr="004008FB">
              <w:t>Wet</w:t>
            </w:r>
          </w:p>
        </w:tc>
        <w:tc>
          <w:tcPr>
            <w:tcW w:w="1206" w:type="pct"/>
            <w:shd w:val="clear" w:color="auto" w:fill="auto"/>
            <w:vAlign w:val="center"/>
            <w:hideMark/>
          </w:tcPr>
          <w:p w14:paraId="72DDB3D3" w14:textId="77777777" w:rsidR="006714A8" w:rsidRPr="004008FB" w:rsidRDefault="006714A8" w:rsidP="00DD3A9E">
            <w:pPr>
              <w:pStyle w:val="TableText0"/>
              <w:spacing w:before="20" w:after="20"/>
              <w:jc w:val="center"/>
            </w:pPr>
            <w:r w:rsidRPr="004008FB">
              <w:t>0</w:t>
            </w:r>
          </w:p>
        </w:tc>
        <w:tc>
          <w:tcPr>
            <w:tcW w:w="1363" w:type="pct"/>
            <w:shd w:val="clear" w:color="auto" w:fill="auto"/>
            <w:vAlign w:val="center"/>
            <w:hideMark/>
          </w:tcPr>
          <w:p w14:paraId="3E4888C8" w14:textId="77777777" w:rsidR="006714A8" w:rsidRPr="004008FB" w:rsidRDefault="006714A8" w:rsidP="00DD3A9E">
            <w:pPr>
              <w:pStyle w:val="TableText0"/>
              <w:spacing w:before="20" w:after="20"/>
              <w:jc w:val="center"/>
            </w:pPr>
            <w:r w:rsidRPr="004008FB">
              <w:t>0</w:t>
            </w:r>
          </w:p>
        </w:tc>
        <w:tc>
          <w:tcPr>
            <w:tcW w:w="1176" w:type="pct"/>
            <w:shd w:val="clear" w:color="auto" w:fill="auto"/>
            <w:vAlign w:val="center"/>
            <w:hideMark/>
          </w:tcPr>
          <w:p w14:paraId="7FB4467B" w14:textId="77777777" w:rsidR="006714A8" w:rsidRPr="004008FB" w:rsidRDefault="006714A8" w:rsidP="00DD3A9E">
            <w:pPr>
              <w:pStyle w:val="TableText0"/>
              <w:spacing w:before="20" w:after="20"/>
              <w:jc w:val="center"/>
            </w:pPr>
            <w:r w:rsidRPr="004008FB">
              <w:t>0</w:t>
            </w:r>
          </w:p>
        </w:tc>
      </w:tr>
      <w:tr w:rsidR="004008FB" w:rsidRPr="004008FB" w14:paraId="2628B61A" w14:textId="77777777" w:rsidTr="00DD3A9E">
        <w:tc>
          <w:tcPr>
            <w:tcW w:w="1255" w:type="pct"/>
            <w:shd w:val="clear" w:color="auto" w:fill="auto"/>
            <w:vAlign w:val="center"/>
            <w:hideMark/>
          </w:tcPr>
          <w:p w14:paraId="35496C3F" w14:textId="77777777" w:rsidR="006714A8" w:rsidRPr="004008FB" w:rsidRDefault="006714A8" w:rsidP="00DD3A9E">
            <w:pPr>
              <w:pStyle w:val="TableText0"/>
              <w:spacing w:before="20" w:after="20"/>
            </w:pPr>
            <w:r w:rsidRPr="004008FB">
              <w:t>Above Normal</w:t>
            </w:r>
          </w:p>
        </w:tc>
        <w:tc>
          <w:tcPr>
            <w:tcW w:w="1206" w:type="pct"/>
            <w:shd w:val="clear" w:color="auto" w:fill="auto"/>
            <w:vAlign w:val="center"/>
            <w:hideMark/>
          </w:tcPr>
          <w:p w14:paraId="5CCA7843" w14:textId="77777777" w:rsidR="006714A8" w:rsidRPr="004008FB" w:rsidRDefault="006714A8" w:rsidP="00DD3A9E">
            <w:pPr>
              <w:pStyle w:val="TableText0"/>
              <w:spacing w:before="20" w:after="20"/>
              <w:jc w:val="center"/>
            </w:pPr>
            <w:r w:rsidRPr="004008FB">
              <w:t>9</w:t>
            </w:r>
          </w:p>
        </w:tc>
        <w:tc>
          <w:tcPr>
            <w:tcW w:w="1363" w:type="pct"/>
            <w:shd w:val="clear" w:color="auto" w:fill="auto"/>
            <w:vAlign w:val="center"/>
            <w:hideMark/>
          </w:tcPr>
          <w:p w14:paraId="5E749833" w14:textId="77777777" w:rsidR="006714A8" w:rsidRPr="004008FB" w:rsidRDefault="006714A8" w:rsidP="00DD3A9E">
            <w:pPr>
              <w:pStyle w:val="TableText0"/>
              <w:spacing w:before="20" w:after="20"/>
              <w:jc w:val="center"/>
            </w:pPr>
            <w:r w:rsidRPr="004008FB">
              <w:t>1</w:t>
            </w:r>
          </w:p>
        </w:tc>
        <w:tc>
          <w:tcPr>
            <w:tcW w:w="1176" w:type="pct"/>
            <w:shd w:val="clear" w:color="auto" w:fill="auto"/>
            <w:vAlign w:val="center"/>
            <w:hideMark/>
          </w:tcPr>
          <w:p w14:paraId="39FFD204" w14:textId="77777777" w:rsidR="006714A8" w:rsidRPr="004008FB" w:rsidRDefault="006714A8" w:rsidP="00DD3A9E">
            <w:pPr>
              <w:pStyle w:val="TableText0"/>
              <w:spacing w:before="20" w:after="20"/>
              <w:jc w:val="center"/>
            </w:pPr>
            <w:r w:rsidRPr="004008FB">
              <w:t>10</w:t>
            </w:r>
          </w:p>
        </w:tc>
      </w:tr>
      <w:tr w:rsidR="004008FB" w:rsidRPr="004008FB" w14:paraId="2D29A8B8" w14:textId="77777777" w:rsidTr="00DD3A9E">
        <w:tc>
          <w:tcPr>
            <w:tcW w:w="1255" w:type="pct"/>
            <w:shd w:val="clear" w:color="auto" w:fill="auto"/>
            <w:vAlign w:val="center"/>
            <w:hideMark/>
          </w:tcPr>
          <w:p w14:paraId="02DEC456" w14:textId="77777777" w:rsidR="006714A8" w:rsidRPr="004008FB" w:rsidRDefault="006714A8" w:rsidP="00DD3A9E">
            <w:pPr>
              <w:pStyle w:val="TableText0"/>
              <w:spacing w:before="20" w:after="20"/>
            </w:pPr>
            <w:r w:rsidRPr="004008FB">
              <w:t>Below Normal</w:t>
            </w:r>
          </w:p>
        </w:tc>
        <w:tc>
          <w:tcPr>
            <w:tcW w:w="1206" w:type="pct"/>
            <w:shd w:val="clear" w:color="auto" w:fill="auto"/>
            <w:vAlign w:val="center"/>
            <w:hideMark/>
          </w:tcPr>
          <w:p w14:paraId="371ED642" w14:textId="77777777" w:rsidR="006714A8" w:rsidRPr="004008FB" w:rsidRDefault="006714A8" w:rsidP="00DD3A9E">
            <w:pPr>
              <w:pStyle w:val="TableText0"/>
              <w:spacing w:before="20" w:after="20"/>
              <w:jc w:val="center"/>
            </w:pPr>
            <w:r w:rsidRPr="004008FB">
              <w:t>7</w:t>
            </w:r>
          </w:p>
        </w:tc>
        <w:tc>
          <w:tcPr>
            <w:tcW w:w="1363" w:type="pct"/>
            <w:shd w:val="clear" w:color="auto" w:fill="auto"/>
            <w:vAlign w:val="center"/>
            <w:hideMark/>
          </w:tcPr>
          <w:p w14:paraId="350E729A" w14:textId="77777777" w:rsidR="006714A8" w:rsidRPr="004008FB" w:rsidRDefault="006714A8" w:rsidP="00DD3A9E">
            <w:pPr>
              <w:pStyle w:val="TableText0"/>
              <w:spacing w:before="20" w:after="20"/>
              <w:jc w:val="center"/>
            </w:pPr>
            <w:r w:rsidRPr="004008FB">
              <w:t>8</w:t>
            </w:r>
          </w:p>
        </w:tc>
        <w:tc>
          <w:tcPr>
            <w:tcW w:w="1176" w:type="pct"/>
            <w:shd w:val="clear" w:color="auto" w:fill="auto"/>
            <w:vAlign w:val="center"/>
            <w:hideMark/>
          </w:tcPr>
          <w:p w14:paraId="064F5983" w14:textId="77777777" w:rsidR="006714A8" w:rsidRPr="004008FB" w:rsidRDefault="006714A8" w:rsidP="00DD3A9E">
            <w:pPr>
              <w:pStyle w:val="TableText0"/>
              <w:spacing w:before="20" w:after="20"/>
              <w:jc w:val="center"/>
            </w:pPr>
            <w:r w:rsidRPr="004008FB">
              <w:t>16</w:t>
            </w:r>
          </w:p>
        </w:tc>
      </w:tr>
      <w:tr w:rsidR="004008FB" w:rsidRPr="004008FB" w14:paraId="17302E6E" w14:textId="77777777" w:rsidTr="00DD3A9E">
        <w:tc>
          <w:tcPr>
            <w:tcW w:w="1255" w:type="pct"/>
            <w:shd w:val="clear" w:color="auto" w:fill="auto"/>
            <w:vAlign w:val="center"/>
            <w:hideMark/>
          </w:tcPr>
          <w:p w14:paraId="323A622D" w14:textId="77777777" w:rsidR="006714A8" w:rsidRPr="004008FB" w:rsidRDefault="006714A8" w:rsidP="00DD3A9E">
            <w:pPr>
              <w:pStyle w:val="TableText0"/>
              <w:spacing w:before="20" w:after="20"/>
            </w:pPr>
            <w:r w:rsidRPr="004008FB">
              <w:t>Dry</w:t>
            </w:r>
          </w:p>
        </w:tc>
        <w:tc>
          <w:tcPr>
            <w:tcW w:w="1206" w:type="pct"/>
            <w:shd w:val="clear" w:color="auto" w:fill="auto"/>
            <w:vAlign w:val="center"/>
            <w:hideMark/>
          </w:tcPr>
          <w:p w14:paraId="04D52F32" w14:textId="77777777" w:rsidR="006714A8" w:rsidRPr="004008FB" w:rsidRDefault="006714A8" w:rsidP="00DD3A9E">
            <w:pPr>
              <w:pStyle w:val="TableText0"/>
              <w:spacing w:before="20" w:after="20"/>
              <w:jc w:val="center"/>
            </w:pPr>
            <w:r w:rsidRPr="004008FB">
              <w:t>7</w:t>
            </w:r>
          </w:p>
        </w:tc>
        <w:tc>
          <w:tcPr>
            <w:tcW w:w="1363" w:type="pct"/>
            <w:shd w:val="clear" w:color="auto" w:fill="auto"/>
            <w:vAlign w:val="center"/>
            <w:hideMark/>
          </w:tcPr>
          <w:p w14:paraId="01803249" w14:textId="77777777" w:rsidR="006714A8" w:rsidRPr="004008FB" w:rsidRDefault="006714A8" w:rsidP="00DD3A9E">
            <w:pPr>
              <w:pStyle w:val="TableText0"/>
              <w:spacing w:before="20" w:after="20"/>
              <w:jc w:val="center"/>
            </w:pPr>
            <w:r w:rsidRPr="004008FB">
              <w:t>10</w:t>
            </w:r>
          </w:p>
        </w:tc>
        <w:tc>
          <w:tcPr>
            <w:tcW w:w="1176" w:type="pct"/>
            <w:shd w:val="clear" w:color="auto" w:fill="auto"/>
            <w:vAlign w:val="center"/>
            <w:hideMark/>
          </w:tcPr>
          <w:p w14:paraId="2E15D8F0" w14:textId="77777777" w:rsidR="006714A8" w:rsidRPr="004008FB" w:rsidRDefault="006714A8" w:rsidP="00DD3A9E">
            <w:pPr>
              <w:pStyle w:val="TableText0"/>
              <w:spacing w:before="20" w:after="20"/>
              <w:jc w:val="center"/>
            </w:pPr>
            <w:r w:rsidRPr="004008FB">
              <w:t>17</w:t>
            </w:r>
          </w:p>
        </w:tc>
      </w:tr>
      <w:tr w:rsidR="004008FB" w:rsidRPr="004008FB" w14:paraId="48167FC6" w14:textId="77777777" w:rsidTr="00DD3A9E">
        <w:tc>
          <w:tcPr>
            <w:tcW w:w="1255" w:type="pct"/>
            <w:shd w:val="clear" w:color="auto" w:fill="auto"/>
            <w:vAlign w:val="center"/>
          </w:tcPr>
          <w:p w14:paraId="2E71FCA1" w14:textId="77777777" w:rsidR="006714A8" w:rsidRPr="004008FB" w:rsidRDefault="006714A8" w:rsidP="00DD3A9E">
            <w:pPr>
              <w:pStyle w:val="TableText0"/>
              <w:spacing w:before="20" w:after="20"/>
            </w:pPr>
            <w:r w:rsidRPr="004008FB">
              <w:t>Critical</w:t>
            </w:r>
          </w:p>
        </w:tc>
        <w:tc>
          <w:tcPr>
            <w:tcW w:w="1206" w:type="pct"/>
            <w:shd w:val="clear" w:color="auto" w:fill="auto"/>
            <w:vAlign w:val="center"/>
          </w:tcPr>
          <w:p w14:paraId="65F57355" w14:textId="77777777" w:rsidR="006714A8" w:rsidRPr="004008FB" w:rsidRDefault="006714A8" w:rsidP="00DD3A9E">
            <w:pPr>
              <w:pStyle w:val="TableText0"/>
              <w:spacing w:before="20" w:after="20"/>
              <w:jc w:val="center"/>
            </w:pPr>
            <w:r w:rsidRPr="004008FB">
              <w:t>6</w:t>
            </w:r>
          </w:p>
        </w:tc>
        <w:tc>
          <w:tcPr>
            <w:tcW w:w="1363" w:type="pct"/>
            <w:shd w:val="clear" w:color="auto" w:fill="auto"/>
            <w:vAlign w:val="center"/>
          </w:tcPr>
          <w:p w14:paraId="145666F9" w14:textId="77777777" w:rsidR="006714A8" w:rsidRPr="004008FB" w:rsidRDefault="006714A8" w:rsidP="00DD3A9E">
            <w:pPr>
              <w:pStyle w:val="TableText0"/>
              <w:spacing w:before="20" w:after="20"/>
              <w:jc w:val="center"/>
            </w:pPr>
            <w:r w:rsidRPr="004008FB">
              <w:t>21</w:t>
            </w:r>
          </w:p>
        </w:tc>
        <w:tc>
          <w:tcPr>
            <w:tcW w:w="1176" w:type="pct"/>
            <w:shd w:val="clear" w:color="auto" w:fill="auto"/>
            <w:vAlign w:val="center"/>
          </w:tcPr>
          <w:p w14:paraId="51B92D95" w14:textId="77777777" w:rsidR="006714A8" w:rsidRPr="004008FB" w:rsidRDefault="006714A8" w:rsidP="00DD3A9E">
            <w:pPr>
              <w:pStyle w:val="TableText0"/>
              <w:spacing w:before="20" w:after="20"/>
              <w:jc w:val="center"/>
            </w:pPr>
            <w:r w:rsidRPr="004008FB">
              <w:t>27</w:t>
            </w:r>
          </w:p>
        </w:tc>
      </w:tr>
    </w:tbl>
    <w:p w14:paraId="2230B62F" w14:textId="77777777" w:rsidR="006714A8" w:rsidRPr="004008FB" w:rsidRDefault="006714A8" w:rsidP="006714A8">
      <w:pPr>
        <w:pStyle w:val="TableNotes"/>
        <w:rPr>
          <w:sz w:val="16"/>
          <w:szCs w:val="16"/>
        </w:rPr>
      </w:pPr>
      <w:r w:rsidRPr="004008FB">
        <w:rPr>
          <w:sz w:val="16"/>
          <w:szCs w:val="16"/>
        </w:rPr>
        <w:t>Source: CALSIM II.</w:t>
      </w:r>
    </w:p>
    <w:p w14:paraId="41C9E817" w14:textId="77777777" w:rsidR="006714A8" w:rsidRPr="004008FB" w:rsidRDefault="006714A8" w:rsidP="006714A8">
      <w:pPr>
        <w:pStyle w:val="TableNotes"/>
      </w:pPr>
      <w:r w:rsidRPr="004008FB">
        <w:lastRenderedPageBreak/>
        <w:t>Notes:</w:t>
      </w:r>
    </w:p>
    <w:p w14:paraId="79D98AFA" w14:textId="77777777" w:rsidR="006714A8" w:rsidRPr="004008FB" w:rsidRDefault="006714A8" w:rsidP="006714A8">
      <w:pPr>
        <w:pStyle w:val="TableNotes"/>
        <w:rPr>
          <w:sz w:val="16"/>
          <w:szCs w:val="16"/>
        </w:rPr>
      </w:pPr>
      <w:r w:rsidRPr="004008FB">
        <w:rPr>
          <w:sz w:val="16"/>
          <w:szCs w:val="16"/>
        </w:rPr>
        <w:t>(a) Average weighted based on water-year frequency rates</w:t>
      </w:r>
    </w:p>
    <w:p w14:paraId="29B583BF" w14:textId="77777777" w:rsidR="006714A8" w:rsidRPr="004008FB" w:rsidRDefault="006714A8" w:rsidP="006714A8">
      <w:pPr>
        <w:pStyle w:val="TableNotes"/>
        <w:rPr>
          <w:sz w:val="16"/>
          <w:szCs w:val="16"/>
        </w:rPr>
      </w:pPr>
      <w:r w:rsidRPr="004008FB">
        <w:rPr>
          <w:sz w:val="16"/>
          <w:szCs w:val="16"/>
        </w:rPr>
        <w:t>(b) Includes both San Joaquin and Tulare Lake Refuge deliveries and based on San Joaquin Valley 60-20-20 Index Year Class.</w:t>
      </w:r>
    </w:p>
    <w:p w14:paraId="338BF1A8" w14:textId="77777777" w:rsidR="006714A8" w:rsidRPr="004008FB" w:rsidRDefault="006714A8" w:rsidP="006714A8">
      <w:pPr>
        <w:pStyle w:val="TableNotes"/>
        <w:ind w:left="450" w:hanging="450"/>
      </w:pPr>
      <w:r w:rsidRPr="004008FB">
        <w:t>TAF</w:t>
      </w:r>
      <w:r w:rsidRPr="004008FB">
        <w:tab/>
        <w:t>=</w:t>
      </w:r>
      <w:r w:rsidRPr="004008FB">
        <w:tab/>
        <w:t>thousand acre-feet</w:t>
      </w:r>
    </w:p>
    <w:p w14:paraId="5062F0DF" w14:textId="24BEC1C0" w:rsidR="006714A8" w:rsidRDefault="00067F83" w:rsidP="0016537E">
      <w:pPr>
        <w:pStyle w:val="mainbodytext"/>
      </w:pPr>
      <w:r w:rsidRPr="00977C0D">
        <w:rPr>
          <w:b/>
          <w:bCs/>
        </w:rPr>
        <w:t xml:space="preserve">Key </w:t>
      </w:r>
      <w:r w:rsidR="002A0826" w:rsidRPr="00977C0D">
        <w:rPr>
          <w:b/>
          <w:bCs/>
        </w:rPr>
        <w:t>Concern</w:t>
      </w:r>
      <w:r w:rsidR="006714A8" w:rsidRPr="00977C0D">
        <w:rPr>
          <w:b/>
          <w:bCs/>
        </w:rPr>
        <w:t>:</w:t>
      </w:r>
      <w:r w:rsidR="006714A8" w:rsidRPr="6C63F06B">
        <w:rPr>
          <w:b/>
          <w:bCs/>
        </w:rPr>
        <w:t xml:space="preserve"> </w:t>
      </w:r>
      <w:r w:rsidR="006714A8" w:rsidRPr="6C63F06B">
        <w:t xml:space="preserve">More thorough analysis </w:t>
      </w:r>
      <w:r w:rsidR="00A7661C">
        <w:t xml:space="preserve">is needed </w:t>
      </w:r>
      <w:r w:rsidR="006714A8" w:rsidRPr="6C63F06B">
        <w:t xml:space="preserve">of geomorphic effects of flow reduction in the higher flow range on habitat (cut bank formation, cottonwood seed dispersion/regeneration processes, wood transport) and </w:t>
      </w:r>
      <w:r w:rsidR="006714A8">
        <w:t xml:space="preserve">the </w:t>
      </w:r>
      <w:r w:rsidR="006714A8" w:rsidRPr="6C63F06B">
        <w:t xml:space="preserve">sensitive species </w:t>
      </w:r>
      <w:r w:rsidR="006714A8">
        <w:t>that</w:t>
      </w:r>
      <w:r w:rsidR="006714A8" w:rsidRPr="6C63F06B">
        <w:t xml:space="preserve"> use it (e.g., bank swallows, yellow-billed cuckoo)</w:t>
      </w:r>
      <w:r w:rsidR="006714A8">
        <w:t>.</w:t>
      </w:r>
    </w:p>
    <w:p w14:paraId="7EBF7EE3" w14:textId="49229300" w:rsidR="006714A8" w:rsidRPr="003A15E9" w:rsidRDefault="006714A8" w:rsidP="0016537E">
      <w:pPr>
        <w:pStyle w:val="mainbodytext"/>
        <w:rPr>
          <w:rFonts w:eastAsia="Calibri"/>
        </w:rPr>
      </w:pPr>
      <w:r w:rsidRPr="6C63F06B">
        <w:rPr>
          <w:rFonts w:eastAsia="Calibri"/>
          <w:b/>
          <w:bCs/>
        </w:rPr>
        <w:t>Response:</w:t>
      </w:r>
      <w:r w:rsidRPr="003A15E9">
        <w:t xml:space="preserve"> </w:t>
      </w:r>
      <w:r w:rsidRPr="00E25DCE">
        <w:rPr>
          <w:rFonts w:eastAsia="Calibri" w:cs="Times New Roman"/>
          <w:szCs w:val="24"/>
        </w:rPr>
        <w:t xml:space="preserve">The SRH-Meander model results presented in the </w:t>
      </w:r>
      <w:bookmarkStart w:id="10" w:name="_Hlk96674433"/>
      <w:r w:rsidRPr="00E25DCE">
        <w:rPr>
          <w:rFonts w:eastAsia="Calibri" w:cs="Times New Roman"/>
          <w:szCs w:val="24"/>
        </w:rPr>
        <w:t xml:space="preserve">RDEIR/SDEIS </w:t>
      </w:r>
      <w:bookmarkEnd w:id="10"/>
      <w:r w:rsidR="00CB683D" w:rsidRPr="00E25DCE">
        <w:rPr>
          <w:rFonts w:eastAsia="Calibri" w:cs="Times New Roman"/>
          <w:szCs w:val="24"/>
        </w:rPr>
        <w:t>(</w:t>
      </w:r>
      <w:r w:rsidR="004C1E53">
        <w:rPr>
          <w:rFonts w:eastAsia="Calibri" w:cs="Times New Roman"/>
          <w:szCs w:val="24"/>
        </w:rPr>
        <w:t>C</w:t>
      </w:r>
      <w:r w:rsidR="004C1E53" w:rsidRPr="004C1E53">
        <w:rPr>
          <w:rFonts w:eastAsia="Calibri" w:cs="Times New Roman"/>
          <w:szCs w:val="24"/>
        </w:rPr>
        <w:t xml:space="preserve">hapter 7 – </w:t>
      </w:r>
      <w:r w:rsidR="004C1E53" w:rsidRPr="00832008">
        <w:rPr>
          <w:rFonts w:eastAsia="Calibri" w:cs="Times New Roman"/>
          <w:i/>
          <w:iCs/>
          <w:szCs w:val="24"/>
        </w:rPr>
        <w:t>Fluvial Geomorphology</w:t>
      </w:r>
      <w:r w:rsidR="00CB683D" w:rsidRPr="00E25DCE">
        <w:rPr>
          <w:rFonts w:eastAsia="Calibri" w:cs="Times New Roman"/>
          <w:szCs w:val="24"/>
        </w:rPr>
        <w:t xml:space="preserve">) </w:t>
      </w:r>
      <w:r w:rsidRPr="00E25DCE">
        <w:rPr>
          <w:rFonts w:eastAsia="Calibri" w:cs="Times New Roman"/>
          <w:szCs w:val="24"/>
        </w:rPr>
        <w:t xml:space="preserve">suggested that the tendency for meander is not significant among the </w:t>
      </w:r>
      <w:r w:rsidR="006D399A" w:rsidRPr="00E25DCE">
        <w:rPr>
          <w:rFonts w:eastAsia="Calibri" w:cs="Times New Roman"/>
          <w:szCs w:val="24"/>
        </w:rPr>
        <w:t>P</w:t>
      </w:r>
      <w:r w:rsidRPr="00E25DCE">
        <w:rPr>
          <w:rFonts w:eastAsia="Calibri" w:cs="Times New Roman"/>
          <w:szCs w:val="24"/>
        </w:rPr>
        <w:t>roject alternatives and the No Action Alternative (NAA</w:t>
      </w:r>
      <w:r w:rsidR="00D34B0A" w:rsidRPr="00E25DCE">
        <w:rPr>
          <w:rFonts w:eastAsia="Calibri" w:cs="Times New Roman"/>
          <w:szCs w:val="24"/>
        </w:rPr>
        <w:fldChar w:fldCharType="begin"/>
      </w:r>
      <w:r w:rsidR="00D34B0A" w:rsidRPr="00E25DCE">
        <w:rPr>
          <w:rFonts w:cs="Times New Roman"/>
          <w:szCs w:val="24"/>
        </w:rPr>
        <w:instrText xml:space="preserve"> TC "No Action Alternative (NAA" \f A \l "1" </w:instrText>
      </w:r>
      <w:r w:rsidR="00D34B0A" w:rsidRPr="00E25DCE">
        <w:rPr>
          <w:rFonts w:eastAsia="Calibri" w:cs="Times New Roman"/>
          <w:szCs w:val="24"/>
        </w:rPr>
        <w:fldChar w:fldCharType="end"/>
      </w:r>
      <w:r w:rsidRPr="00E25DCE">
        <w:rPr>
          <w:rFonts w:eastAsia="Calibri" w:cs="Times New Roman"/>
          <w:szCs w:val="24"/>
        </w:rPr>
        <w:t xml:space="preserve">). The river meandering, bank erosion, and deposition modeling concluded that there were no significant differences in the channel alignments between existing conditions and the modeled alternatives. Thus, operational impacts on the geomorphic regime (including natural river geomorphic processes such as sediment transport and bank erosion) and existing river geomorphic characteristics (e.g., sinuosity, channel gradient, substrate composition, channel width and depth, and riparian vegetation) of the greater Sacramento River system are expected to be minimal, and consequently, impacts on sensitive species would be negligible or minimal as well. The Authority will review these results with USFWS and </w:t>
      </w:r>
      <w:r w:rsidR="00067F83" w:rsidRPr="00E25DCE">
        <w:rPr>
          <w:rFonts w:eastAsia="Calibri" w:cs="Times New Roman"/>
          <w:szCs w:val="24"/>
        </w:rPr>
        <w:t xml:space="preserve">Reclamation </w:t>
      </w:r>
      <w:r w:rsidRPr="00E25DCE">
        <w:rPr>
          <w:rFonts w:eastAsia="Calibri" w:cs="Times New Roman"/>
          <w:szCs w:val="24"/>
        </w:rPr>
        <w:t xml:space="preserve">to determine whether additional analysis is warranted, or additional considerations will be added to the monitoring and adaptive management </w:t>
      </w:r>
      <w:r w:rsidR="00D748E9" w:rsidRPr="00E25DCE">
        <w:rPr>
          <w:rFonts w:eastAsia="Calibri" w:cs="Times New Roman"/>
          <w:szCs w:val="24"/>
        </w:rPr>
        <w:t>plans</w:t>
      </w:r>
      <w:r w:rsidRPr="00E25DCE">
        <w:rPr>
          <w:rFonts w:eastAsia="Calibri" w:cs="Times New Roman"/>
          <w:szCs w:val="24"/>
        </w:rPr>
        <w:t xml:space="preserve"> or the </w:t>
      </w:r>
      <w:r w:rsidR="006D399A" w:rsidRPr="00E25DCE">
        <w:rPr>
          <w:rFonts w:eastAsia="Calibri" w:cs="Times New Roman"/>
          <w:szCs w:val="24"/>
        </w:rPr>
        <w:t>P</w:t>
      </w:r>
      <w:r w:rsidRPr="00E25DCE">
        <w:rPr>
          <w:rFonts w:eastAsia="Calibri" w:cs="Times New Roman"/>
          <w:szCs w:val="24"/>
        </w:rPr>
        <w:t>roject description</w:t>
      </w:r>
      <w:r w:rsidRPr="003A15E9">
        <w:rPr>
          <w:rFonts w:eastAsia="Calibri"/>
        </w:rPr>
        <w:t>.</w:t>
      </w:r>
    </w:p>
    <w:p w14:paraId="1373CF8A" w14:textId="6DD6C32C" w:rsidR="006714A8" w:rsidRDefault="00067F83" w:rsidP="0016537E">
      <w:pPr>
        <w:pStyle w:val="mainbodytext"/>
      </w:pPr>
      <w:r>
        <w:rPr>
          <w:b/>
          <w:bCs/>
        </w:rPr>
        <w:t xml:space="preserve">Key </w:t>
      </w:r>
      <w:r w:rsidR="004C1E53">
        <w:rPr>
          <w:b/>
          <w:bCs/>
        </w:rPr>
        <w:t>Concern</w:t>
      </w:r>
      <w:r w:rsidR="006714A8" w:rsidRPr="7D6C1DE8">
        <w:rPr>
          <w:b/>
          <w:bCs/>
        </w:rPr>
        <w:t xml:space="preserve">: </w:t>
      </w:r>
      <w:r w:rsidR="006714A8" w:rsidRPr="7D6C1DE8">
        <w:t>Additional review may be needed of the resource protection measures identified for habitat</w:t>
      </w:r>
      <w:r w:rsidR="006D399A">
        <w:t>s</w:t>
      </w:r>
      <w:r w:rsidR="006714A8" w:rsidRPr="7D6C1DE8">
        <w:t xml:space="preserve"> (e.g., riparian, upland, stream, and wetland) that could support special</w:t>
      </w:r>
      <w:r w:rsidR="006D399A">
        <w:t>-</w:t>
      </w:r>
      <w:r w:rsidR="006714A8" w:rsidRPr="7D6C1DE8">
        <w:t>status species including the listed valley elderberry longhorn beetle, red-legged frog, and several rare plants, which are potentially present within the impact area.</w:t>
      </w:r>
    </w:p>
    <w:p w14:paraId="5CEDAB63" w14:textId="34172C43" w:rsidR="006714A8" w:rsidRDefault="006714A8" w:rsidP="00B213B3">
      <w:pPr>
        <w:pStyle w:val="mainbodytext"/>
      </w:pPr>
      <w:r w:rsidRPr="2465516A">
        <w:rPr>
          <w:b/>
          <w:bCs/>
        </w:rPr>
        <w:t>Response:</w:t>
      </w:r>
      <w:r>
        <w:rPr>
          <w:b/>
          <w:bCs/>
        </w:rPr>
        <w:t xml:space="preserve"> </w:t>
      </w:r>
      <w:r w:rsidRPr="003A15E9">
        <w:t>A</w:t>
      </w:r>
      <w:r w:rsidRPr="00E25DCE">
        <w:t>s stated above, verification of species</w:t>
      </w:r>
      <w:r w:rsidR="00D748E9" w:rsidRPr="00E25DCE">
        <w:t>’</w:t>
      </w:r>
      <w:r w:rsidRPr="00E25DCE">
        <w:t xml:space="preserve"> presence and habitat suitability has been limited by lack of access to lands that would be affected by the</w:t>
      </w:r>
      <w:r w:rsidR="00C57546" w:rsidRPr="00E25DCE">
        <w:t xml:space="preserve"> Project</w:t>
      </w:r>
      <w:r w:rsidRPr="00E25DCE">
        <w:t xml:space="preserve">. Potential wildlife resources in the study area were evaluated by reviewing existing information and identifying potentially suitable habitat with geographic information system modeling. Sources of information and modeling techniques are summarized in </w:t>
      </w:r>
      <w:r w:rsidR="003417CE" w:rsidRPr="00E25DCE">
        <w:t xml:space="preserve">Chapter 10, </w:t>
      </w:r>
      <w:r w:rsidR="003417CE" w:rsidRPr="00E25DCE">
        <w:rPr>
          <w:i/>
          <w:iCs/>
        </w:rPr>
        <w:t>Wildlife Resources</w:t>
      </w:r>
      <w:r w:rsidR="003417CE" w:rsidRPr="00E25DCE">
        <w:t xml:space="preserve">, of </w:t>
      </w:r>
      <w:r w:rsidRPr="00E25DCE">
        <w:t xml:space="preserve">the RDEIR/SDEIS. </w:t>
      </w:r>
      <w:r w:rsidR="008A466D">
        <w:t>T</w:t>
      </w:r>
      <w:r w:rsidR="005E16B3" w:rsidRPr="00E25DCE">
        <w:t xml:space="preserve">he </w:t>
      </w:r>
      <w:r w:rsidRPr="00E25DCE">
        <w:t>Authority will</w:t>
      </w:r>
      <w:r w:rsidR="005E16B3" w:rsidRPr="00E25DCE">
        <w:t xml:space="preserve"> continue to </w:t>
      </w:r>
      <w:r w:rsidRPr="00E25DCE">
        <w:t xml:space="preserve">work with </w:t>
      </w:r>
      <w:r w:rsidR="00453A81" w:rsidRPr="00E25DCE">
        <w:t>Reclamation,</w:t>
      </w:r>
      <w:r w:rsidR="00453A81">
        <w:t xml:space="preserve"> </w:t>
      </w:r>
      <w:r w:rsidRPr="00E25DCE">
        <w:t xml:space="preserve">USFWS, </w:t>
      </w:r>
      <w:r w:rsidR="00887CA6">
        <w:t>NMFS, CDFW</w:t>
      </w:r>
      <w:r w:rsidRPr="00E25DCE">
        <w:t xml:space="preserve">, and other regulatory agencies to review these results and </w:t>
      </w:r>
      <w:r w:rsidR="009170A1">
        <w:t xml:space="preserve">discuss </w:t>
      </w:r>
      <w:r w:rsidRPr="00E25DCE">
        <w:t>the resource protection measures</w:t>
      </w:r>
      <w:r w:rsidR="00FE66A6">
        <w:t>, including avoidance and minimization measures</w:t>
      </w:r>
      <w:r w:rsidRPr="009B4878">
        <w:t>.</w:t>
      </w:r>
      <w:r w:rsidR="00B01C3E" w:rsidRPr="009B4878">
        <w:t xml:space="preserve"> These efforts have been ongoing for some time </w:t>
      </w:r>
      <w:r w:rsidR="00154A84" w:rsidRPr="009B4878">
        <w:t>for aquatic species</w:t>
      </w:r>
      <w:r w:rsidR="0057336D" w:rsidRPr="009B4878">
        <w:t xml:space="preserve"> with more limited discussion on terre</w:t>
      </w:r>
      <w:r w:rsidR="00436FD2" w:rsidRPr="009B4878">
        <w:t xml:space="preserve">strial species.  The Authority with Reclamation </w:t>
      </w:r>
      <w:r w:rsidR="00B719D5" w:rsidRPr="009B4878">
        <w:t xml:space="preserve">would like to engage </w:t>
      </w:r>
      <w:r w:rsidR="00E70C00" w:rsidRPr="009B4878">
        <w:t>in more detailed discussion of t</w:t>
      </w:r>
      <w:r w:rsidR="003A2AF3" w:rsidRPr="009B4878">
        <w:t xml:space="preserve">hese concerns </w:t>
      </w:r>
      <w:r w:rsidR="00F86A68" w:rsidRPr="009B4878">
        <w:t xml:space="preserve">with regard to terrestrial species. </w:t>
      </w:r>
    </w:p>
    <w:p w14:paraId="2ECF4A56" w14:textId="51BCF320" w:rsidR="00FE7F89" w:rsidRDefault="005E16B3" w:rsidP="00FE7F89">
      <w:pPr>
        <w:pStyle w:val="Heading1"/>
      </w:pPr>
      <w:r>
        <w:t xml:space="preserve">In-River Effects </w:t>
      </w:r>
    </w:p>
    <w:p w14:paraId="605CE7CF" w14:textId="7809D709" w:rsidR="001D3C6B" w:rsidRPr="001D3C6B" w:rsidRDefault="001D3C6B" w:rsidP="00716476">
      <w:pPr>
        <w:pStyle w:val="mainbodytext"/>
      </w:pPr>
      <w:bookmarkStart w:id="11" w:name="_Hlk99453937"/>
      <w:r>
        <w:rPr>
          <w:b/>
          <w:bCs/>
        </w:rPr>
        <w:t xml:space="preserve">Key </w:t>
      </w:r>
      <w:r w:rsidR="004C1E53">
        <w:rPr>
          <w:b/>
          <w:bCs/>
        </w:rPr>
        <w:t>Concern</w:t>
      </w:r>
      <w:r w:rsidRPr="001D3C6B">
        <w:rPr>
          <w:b/>
          <w:bCs/>
        </w:rPr>
        <w:t>:</w:t>
      </w:r>
      <w:r w:rsidRPr="001D3C6B">
        <w:t xml:space="preserve"> Provide a better demonstration of temperature benefit expected from opportunities to increase storage in Shasta </w:t>
      </w:r>
      <w:r w:rsidR="00DF1715">
        <w:t>R</w:t>
      </w:r>
      <w:r w:rsidRPr="001D3C6B">
        <w:t xml:space="preserve">eservoir. </w:t>
      </w:r>
    </w:p>
    <w:bookmarkEnd w:id="11"/>
    <w:p w14:paraId="2AFA34A0" w14:textId="231B8648" w:rsidR="00095C20" w:rsidRPr="004008FB" w:rsidRDefault="001D3C6B" w:rsidP="00716476">
      <w:pPr>
        <w:pStyle w:val="mainbodytext"/>
      </w:pPr>
      <w:r w:rsidRPr="001D3C6B">
        <w:rPr>
          <w:b/>
          <w:bCs/>
        </w:rPr>
        <w:t>Response:</w:t>
      </w:r>
      <w:r w:rsidR="00EE6B58">
        <w:rPr>
          <w:b/>
          <w:bCs/>
        </w:rPr>
        <w:t xml:space="preserve"> </w:t>
      </w:r>
      <w:r w:rsidR="00EE6B58">
        <w:t xml:space="preserve">In coordination with Reclamation, text was developed to expand the discussion </w:t>
      </w:r>
      <w:r w:rsidR="004C1E53">
        <w:t>of</w:t>
      </w:r>
      <w:r w:rsidR="00EE6B58">
        <w:t xml:space="preserve"> </w:t>
      </w:r>
      <w:r w:rsidR="00EE6B58" w:rsidRPr="004008FB">
        <w:t xml:space="preserve">fisheries benefits </w:t>
      </w:r>
      <w:r w:rsidR="00347A50">
        <w:t>related to</w:t>
      </w:r>
      <w:r w:rsidR="00EE6B58" w:rsidRPr="004008FB">
        <w:t xml:space="preserve"> increased operational flexibility associated with Shasta </w:t>
      </w:r>
      <w:r w:rsidR="0087798C">
        <w:t>R</w:t>
      </w:r>
      <w:r w:rsidR="00EE6B58" w:rsidRPr="004008FB">
        <w:t xml:space="preserve">eservoir. </w:t>
      </w:r>
      <w:r w:rsidR="006941F3">
        <w:t xml:space="preserve">This text was developed after issuance of the PAM </w:t>
      </w:r>
      <w:r w:rsidR="00A021AC">
        <w:t xml:space="preserve">and was </w:t>
      </w:r>
      <w:r w:rsidR="00A021AC" w:rsidRPr="00D7578F">
        <w:t>included in Chapter 2,</w:t>
      </w:r>
      <w:r w:rsidR="00A021AC">
        <w:t xml:space="preserve"> </w:t>
      </w:r>
      <w:r w:rsidR="006E3174">
        <w:rPr>
          <w:i/>
          <w:iCs/>
        </w:rPr>
        <w:t>Project Description and</w:t>
      </w:r>
      <w:r w:rsidR="006E3174" w:rsidRPr="00286CCD">
        <w:rPr>
          <w:i/>
          <w:iCs/>
        </w:rPr>
        <w:t xml:space="preserve"> Alternative</w:t>
      </w:r>
      <w:r w:rsidR="00286CCD" w:rsidRPr="00801C6C">
        <w:rPr>
          <w:i/>
          <w:iCs/>
        </w:rPr>
        <w:t>s</w:t>
      </w:r>
      <w:r w:rsidR="00BB494B">
        <w:t xml:space="preserve">, </w:t>
      </w:r>
      <w:r w:rsidR="00A021AC" w:rsidRPr="00BB494B">
        <w:t>of</w:t>
      </w:r>
      <w:r w:rsidR="00A021AC">
        <w:t xml:space="preserve"> the RDEIR/SDEIS.</w:t>
      </w:r>
      <w:r w:rsidR="00EE6B58" w:rsidRPr="004008FB">
        <w:t xml:space="preserve"> A</w:t>
      </w:r>
      <w:r w:rsidR="00095C20" w:rsidRPr="004008FB">
        <w:t xml:space="preserve">dditional water supply </w:t>
      </w:r>
      <w:r w:rsidR="00347A50">
        <w:t>from</w:t>
      </w:r>
      <w:r w:rsidR="00095C20" w:rsidRPr="004008FB">
        <w:t xml:space="preserve"> Sites Reservoir </w:t>
      </w:r>
      <w:r w:rsidR="00347A50">
        <w:t xml:space="preserve">would </w:t>
      </w:r>
      <w:r w:rsidR="00095C20" w:rsidRPr="004008FB">
        <w:t>provide opportunities for improved management of salmonid habitat, particularly in the Sacramento River above Red Bluff Diversion Dam. By exchanging Sites</w:t>
      </w:r>
      <w:r w:rsidR="00347A50">
        <w:t xml:space="preserve"> Reservoir</w:t>
      </w:r>
      <w:r w:rsidR="00095C20" w:rsidRPr="004008FB">
        <w:t xml:space="preserve"> water for C</w:t>
      </w:r>
      <w:r w:rsidR="00EE6B58" w:rsidRPr="004008FB">
        <w:t>entral Valley Project (CVP</w:t>
      </w:r>
      <w:r w:rsidR="00D34B0A">
        <w:fldChar w:fldCharType="begin"/>
      </w:r>
      <w:r w:rsidR="00D34B0A">
        <w:instrText xml:space="preserve"> TC "Central Valley Project (CVP" \f A \l "1" </w:instrText>
      </w:r>
      <w:r w:rsidR="00D34B0A">
        <w:fldChar w:fldCharType="end"/>
      </w:r>
      <w:r w:rsidR="00EE6B58" w:rsidRPr="004008FB">
        <w:t xml:space="preserve">) </w:t>
      </w:r>
      <w:r w:rsidR="00095C20" w:rsidRPr="004008FB">
        <w:t xml:space="preserve">water, Reclamation has an additional tool to maintain and improve habitat for salmonid spawning, </w:t>
      </w:r>
      <w:r w:rsidR="00095C20" w:rsidRPr="004008FB">
        <w:lastRenderedPageBreak/>
        <w:t xml:space="preserve">incubation, rearing, and migration. By delivering water to CVP </w:t>
      </w:r>
      <w:r w:rsidR="006D399A">
        <w:t>c</w:t>
      </w:r>
      <w:r w:rsidR="00095C20" w:rsidRPr="004008FB">
        <w:t xml:space="preserve">ontractors from Sites Reservoir, Reclamation may maintain supply in Shasta </w:t>
      </w:r>
      <w:r w:rsidR="00DF1715">
        <w:t>R</w:t>
      </w:r>
      <w:r w:rsidR="00EE6B58" w:rsidRPr="004008FB">
        <w:t>eservoir</w:t>
      </w:r>
      <w:r w:rsidR="00095C20" w:rsidRPr="004008FB">
        <w:t xml:space="preserve">. Maintenance of supply can then be allocated in real-time management scenarios to uses that protect and enhance anadromous fish benefits, including protecting and enhancing the cold-water pool, which is essential for temperature control in the salmonid spawning reaches below Keswick Dam during </w:t>
      </w:r>
      <w:r w:rsidR="00347A50">
        <w:t>D</w:t>
      </w:r>
      <w:r w:rsidR="00095C20" w:rsidRPr="004008FB">
        <w:t xml:space="preserve">ry and </w:t>
      </w:r>
      <w:r w:rsidR="00347A50">
        <w:t>C</w:t>
      </w:r>
      <w:r w:rsidR="00095C20" w:rsidRPr="004008FB">
        <w:t>ritical</w:t>
      </w:r>
      <w:r w:rsidR="00347A50">
        <w:t xml:space="preserve">ly Dry </w:t>
      </w:r>
      <w:r w:rsidR="00106333">
        <w:t>W</w:t>
      </w:r>
      <w:r w:rsidR="00347A50">
        <w:t>ater</w:t>
      </w:r>
      <w:r w:rsidR="00095C20" w:rsidRPr="004008FB">
        <w:t xml:space="preserve"> </w:t>
      </w:r>
      <w:r w:rsidR="00106333">
        <w:t>Y</w:t>
      </w:r>
      <w:r w:rsidR="00095C20" w:rsidRPr="004008FB">
        <w:t xml:space="preserve">ears. </w:t>
      </w:r>
      <w:r w:rsidR="006944E6">
        <w:t xml:space="preserve">Increased storage may provide benefits beyond temperature such as </w:t>
      </w:r>
      <w:r w:rsidR="00A0196B">
        <w:t xml:space="preserve">providing </w:t>
      </w:r>
      <w:r w:rsidR="00095C20" w:rsidRPr="004008FB">
        <w:t>a resource for maintaining fall flows to</w:t>
      </w:r>
      <w:r w:rsidR="00E25DCE">
        <w:t xml:space="preserve"> sustain</w:t>
      </w:r>
      <w:r w:rsidR="00095C20" w:rsidRPr="004008FB">
        <w:t xml:space="preserve"> spawning redds that persist in the wetted margins of the </w:t>
      </w:r>
      <w:r w:rsidR="00347A50">
        <w:t>Sacramento R</w:t>
      </w:r>
      <w:r w:rsidR="00095C20" w:rsidRPr="004008FB">
        <w:t xml:space="preserve">iver. In years when storm events are weak and </w:t>
      </w:r>
      <w:r w:rsidR="00C91986">
        <w:t xml:space="preserve">naturally-occurring </w:t>
      </w:r>
      <w:r w:rsidR="00095C20" w:rsidRPr="004008FB">
        <w:t xml:space="preserve">pulse flows are minimal, this maintenance of supply could be used to manufacture a spring pulse flow to assist juvenile salmonids in completing their migration from the upper Sacramento River to the Delta and </w:t>
      </w:r>
      <w:r w:rsidR="00347A50">
        <w:t>ultimately the Pacific Ocean</w:t>
      </w:r>
      <w:r w:rsidR="00095C20" w:rsidRPr="004008FB">
        <w:t>.</w:t>
      </w:r>
      <w:r w:rsidR="00A52E49">
        <w:t xml:space="preserve"> </w:t>
      </w:r>
      <w:r w:rsidR="00087ADE">
        <w:t>The</w:t>
      </w:r>
      <w:r w:rsidR="004C1E53">
        <w:t xml:space="preserve"> Authority </w:t>
      </w:r>
      <w:r w:rsidR="007F4F80">
        <w:t>is</w:t>
      </w:r>
      <w:r w:rsidR="00E05187">
        <w:t xml:space="preserve"> </w:t>
      </w:r>
      <w:r w:rsidR="004C1E53">
        <w:t>work</w:t>
      </w:r>
      <w:r w:rsidR="00E05187">
        <w:t>ing</w:t>
      </w:r>
      <w:r w:rsidR="004C1E53">
        <w:t xml:space="preserve"> with </w:t>
      </w:r>
      <w:r w:rsidR="008E4754">
        <w:t xml:space="preserve">Reclamation </w:t>
      </w:r>
      <w:r w:rsidR="004C1E53">
        <w:t xml:space="preserve">to assess </w:t>
      </w:r>
      <w:r w:rsidR="00CC3011">
        <w:t xml:space="preserve">and enhance </w:t>
      </w:r>
      <w:r w:rsidR="004C1E53">
        <w:t xml:space="preserve">fisheries benefits associated with </w:t>
      </w:r>
      <w:r w:rsidR="00C75312">
        <w:t>Reclamation</w:t>
      </w:r>
      <w:r w:rsidR="004F79E1">
        <w:t>’s</w:t>
      </w:r>
      <w:r w:rsidR="00A52E49">
        <w:t xml:space="preserve"> participation</w:t>
      </w:r>
      <w:r w:rsidR="006944E6">
        <w:t xml:space="preserve"> for the multiple objectives related to increase</w:t>
      </w:r>
      <w:r w:rsidR="00A0196B">
        <w:t>d</w:t>
      </w:r>
      <w:r w:rsidR="006944E6">
        <w:t xml:space="preserve"> Shasta Reservoir storage</w:t>
      </w:r>
      <w:r w:rsidR="00A52E49">
        <w:t>.</w:t>
      </w:r>
    </w:p>
    <w:p w14:paraId="310BF84B" w14:textId="75B32A4B" w:rsidR="00095C20" w:rsidRPr="004008FB" w:rsidRDefault="00095C20" w:rsidP="00716476">
      <w:pPr>
        <w:pStyle w:val="mainbodytext"/>
      </w:pPr>
      <w:r w:rsidRPr="004008FB">
        <w:t xml:space="preserve">The Project </w:t>
      </w:r>
      <w:r w:rsidR="00347A50">
        <w:t xml:space="preserve">would </w:t>
      </w:r>
      <w:r w:rsidRPr="004008FB">
        <w:t xml:space="preserve">also provide an additional capability to address expected changes in precipitation and runoff patterns </w:t>
      </w:r>
      <w:r w:rsidR="00347A50">
        <w:t>anticipated</w:t>
      </w:r>
      <w:r w:rsidRPr="004008FB">
        <w:t xml:space="preserve"> to result from climate change</w:t>
      </w:r>
      <w:r w:rsidR="004C1E53">
        <w:t xml:space="preserve"> (see </w:t>
      </w:r>
      <w:r w:rsidR="008F0D70">
        <w:t xml:space="preserve">Chapter </w:t>
      </w:r>
      <w:r w:rsidR="004C1E53">
        <w:t xml:space="preserve">28 of the </w:t>
      </w:r>
      <w:r w:rsidR="004C1E53" w:rsidRPr="004C1E53">
        <w:t>RDEIR/SDEIS</w:t>
      </w:r>
      <w:r w:rsidR="004C1E53">
        <w:t>)</w:t>
      </w:r>
      <w:r w:rsidRPr="004008FB">
        <w:t>. While long</w:t>
      </w:r>
      <w:r w:rsidR="00347A50">
        <w:t>-</w:t>
      </w:r>
      <w:r w:rsidRPr="004008FB">
        <w:t xml:space="preserve">term averages in precipitation are not expected to change, more precipitation is expected to fall as rain, resulting in a decreased snowpack and changes in runoff patterns. These changes will likely present challenges for </w:t>
      </w:r>
      <w:r w:rsidR="00A67FDE">
        <w:t xml:space="preserve">future </w:t>
      </w:r>
      <w:r w:rsidRPr="004008FB">
        <w:t xml:space="preserve">water management, including </w:t>
      </w:r>
      <w:r w:rsidR="00A67FDE">
        <w:t xml:space="preserve">that </w:t>
      </w:r>
      <w:r w:rsidRPr="004008FB">
        <w:t>for environment</w:t>
      </w:r>
      <w:r w:rsidR="009400B0">
        <w:t>al benefits</w:t>
      </w:r>
      <w:r w:rsidRPr="004008FB">
        <w:t xml:space="preserve">. The ability </w:t>
      </w:r>
      <w:r w:rsidR="00B37AD5" w:rsidRPr="004008FB">
        <w:t xml:space="preserve">of </w:t>
      </w:r>
      <w:r w:rsidRPr="004008FB">
        <w:t xml:space="preserve">the Project to capture and store water that cannot be captured and stored by Reclamation and to exchange water with Shasta </w:t>
      </w:r>
      <w:r w:rsidR="00DF1715">
        <w:t>R</w:t>
      </w:r>
      <w:r w:rsidR="00B37AD5" w:rsidRPr="004008FB">
        <w:t>eservoir</w:t>
      </w:r>
      <w:r w:rsidRPr="004008FB">
        <w:t xml:space="preserve"> creates flexibility to provide environmental benefits to anadromous fish in the upper Sacramento River under climate</w:t>
      </w:r>
      <w:r w:rsidR="00A67FDE">
        <w:t xml:space="preserve"> change</w:t>
      </w:r>
      <w:r w:rsidRPr="004008FB">
        <w:t xml:space="preserve"> scenarios.</w:t>
      </w:r>
    </w:p>
    <w:p w14:paraId="16DC6490" w14:textId="23545910" w:rsidR="001D3C6B" w:rsidRPr="001D3C6B" w:rsidRDefault="001D3C6B" w:rsidP="00716476">
      <w:pPr>
        <w:pStyle w:val="mainbodytext"/>
      </w:pPr>
      <w:bookmarkStart w:id="12" w:name="_Hlk99453949"/>
      <w:r w:rsidRPr="00977C0D">
        <w:rPr>
          <w:b/>
          <w:bCs/>
        </w:rPr>
        <w:t xml:space="preserve">Key </w:t>
      </w:r>
      <w:r w:rsidR="00A52E49" w:rsidRPr="00977C0D">
        <w:rPr>
          <w:b/>
          <w:bCs/>
        </w:rPr>
        <w:t>Concern</w:t>
      </w:r>
      <w:r w:rsidRPr="00977C0D">
        <w:rPr>
          <w:b/>
          <w:bCs/>
        </w:rPr>
        <w:t>:</w:t>
      </w:r>
      <w:r w:rsidRPr="001D3C6B">
        <w:t xml:space="preserve"> In general, whenever water diversions occur, there will be an associated loss of food organisms and sediment, incidental mortality of fish at the intake screen(s), and lower survival due to lower flows and related mechanisms (predation exposure, less inundated edge cover, less food production, less suspended sediment)</w:t>
      </w:r>
      <w:r w:rsidR="004302A4">
        <w:t xml:space="preserve">. Specific concerns expressed </w:t>
      </w:r>
      <w:r w:rsidR="00827821">
        <w:t>are as follows</w:t>
      </w:r>
      <w:r w:rsidRPr="001D3C6B">
        <w:t>:</w:t>
      </w:r>
    </w:p>
    <w:p w14:paraId="200AB843" w14:textId="75D89E13" w:rsidR="001D3C6B" w:rsidRPr="00716476" w:rsidRDefault="001D3C6B" w:rsidP="009B4878">
      <w:pPr>
        <w:pStyle w:val="NumberingOutline1"/>
        <w:numPr>
          <w:ilvl w:val="1"/>
          <w:numId w:val="29"/>
        </w:numPr>
        <w:ind w:left="720"/>
      </w:pPr>
      <w:r w:rsidRPr="00716476">
        <w:t>Flow criteria at Wilkins Slough (8</w:t>
      </w:r>
      <w:r w:rsidR="00FB0C13" w:rsidRPr="00716476">
        <w:t xml:space="preserve">,000 </w:t>
      </w:r>
      <w:r w:rsidRPr="00716476">
        <w:t>cfs</w:t>
      </w:r>
      <w:r w:rsidR="00FB0C13" w:rsidRPr="00716476">
        <w:t xml:space="preserve"> [cubic feet per second]</w:t>
      </w:r>
      <w:r w:rsidRPr="00716476">
        <w:t xml:space="preserve"> </w:t>
      </w:r>
      <w:r w:rsidR="00FB0C13" w:rsidRPr="00716476">
        <w:t xml:space="preserve">in </w:t>
      </w:r>
      <w:r w:rsidRPr="00716476">
        <w:t>April and May</w:t>
      </w:r>
      <w:r w:rsidR="00FB0C13" w:rsidRPr="00716476">
        <w:t>;</w:t>
      </w:r>
      <w:r w:rsidRPr="00716476">
        <w:t xml:space="preserve"> 5</w:t>
      </w:r>
      <w:r w:rsidR="00FB0C13" w:rsidRPr="00716476">
        <w:t xml:space="preserve">,000 </w:t>
      </w:r>
      <w:r w:rsidRPr="00716476">
        <w:t>cfs</w:t>
      </w:r>
      <w:r w:rsidR="00FB0C13" w:rsidRPr="00716476">
        <w:t xml:space="preserve"> in</w:t>
      </w:r>
      <w:r w:rsidRPr="00716476">
        <w:t xml:space="preserve"> other months) is likely inadequate to protect downstream migrating salmon. Suggest consideration of Michel et al. </w:t>
      </w:r>
      <w:r w:rsidR="00FB0C13" w:rsidRPr="00716476">
        <w:t>(</w:t>
      </w:r>
      <w:r w:rsidRPr="00716476">
        <w:t>2021</w:t>
      </w:r>
      <w:r w:rsidR="00507051" w:rsidRPr="00716476">
        <w:fldChar w:fldCharType="begin"/>
      </w:r>
      <w:r w:rsidR="00507051" w:rsidRPr="00716476">
        <w:instrText xml:space="preserve"> TC "Michel et al. (2021" \f C \l "1" </w:instrText>
      </w:r>
      <w:r w:rsidR="00507051" w:rsidRPr="00716476">
        <w:fldChar w:fldCharType="end"/>
      </w:r>
      <w:r w:rsidR="00FB0C13" w:rsidRPr="00716476">
        <w:t>)</w:t>
      </w:r>
      <w:r w:rsidRPr="00716476">
        <w:t>.</w:t>
      </w:r>
    </w:p>
    <w:p w14:paraId="564BB4E9" w14:textId="12BF03E8" w:rsidR="001D3C6B" w:rsidRPr="00716476" w:rsidRDefault="001D3C6B" w:rsidP="009B4878">
      <w:pPr>
        <w:pStyle w:val="NumberingOutline1"/>
        <w:numPr>
          <w:ilvl w:val="1"/>
          <w:numId w:val="29"/>
        </w:numPr>
        <w:ind w:left="720"/>
      </w:pPr>
      <w:r w:rsidRPr="00716476">
        <w:t>Need more thorough analysis of effects of habitat reduction on survival</w:t>
      </w:r>
      <w:r w:rsidR="000F33AB">
        <w:t>.</w:t>
      </w:r>
      <w:r w:rsidR="000F33AB" w:rsidRPr="00716476">
        <w:t xml:space="preserve"> </w:t>
      </w:r>
      <w:r w:rsidR="000F33AB">
        <w:t>W</w:t>
      </w:r>
      <w:r w:rsidR="000F33AB" w:rsidRPr="00716476">
        <w:t xml:space="preserve">eighted </w:t>
      </w:r>
      <w:r w:rsidRPr="00716476">
        <w:t>usable area</w:t>
      </w:r>
      <w:r w:rsidR="00081D7E" w:rsidRPr="00716476">
        <w:t xml:space="preserve"> (WUA)</w:t>
      </w:r>
      <w:r w:rsidRPr="00716476">
        <w:t xml:space="preserve"> curves do not disclose all effects associated with reduced flow</w:t>
      </w:r>
      <w:r w:rsidR="000F33AB">
        <w:t>.</w:t>
      </w:r>
    </w:p>
    <w:p w14:paraId="31682EEE" w14:textId="4505A4A3" w:rsidR="001D3C6B" w:rsidRPr="00716476" w:rsidRDefault="00E06E9C" w:rsidP="009B4878">
      <w:pPr>
        <w:pStyle w:val="NumberingOutline1"/>
        <w:numPr>
          <w:ilvl w:val="1"/>
          <w:numId w:val="29"/>
        </w:numPr>
        <w:ind w:left="720"/>
      </w:pPr>
      <w:r>
        <w:t>Need m</w:t>
      </w:r>
      <w:r w:rsidR="001D3C6B" w:rsidRPr="00716476">
        <w:t>ore complete analysis of effects of flow reductions on sturgeon migration</w:t>
      </w:r>
      <w:r w:rsidR="000F33AB">
        <w:t>.</w:t>
      </w:r>
      <w:r w:rsidR="001D3C6B" w:rsidRPr="00716476">
        <w:t xml:space="preserve"> </w:t>
      </w:r>
    </w:p>
    <w:bookmarkEnd w:id="12"/>
    <w:p w14:paraId="04DD239A" w14:textId="77777777" w:rsidR="001D3C6B" w:rsidRPr="00716476" w:rsidRDefault="001D3C6B" w:rsidP="00716476">
      <w:pPr>
        <w:pStyle w:val="mainbodytext"/>
        <w:rPr>
          <w:b/>
          <w:bCs/>
        </w:rPr>
      </w:pPr>
      <w:r w:rsidRPr="00716476">
        <w:rPr>
          <w:b/>
          <w:bCs/>
        </w:rPr>
        <w:t>Response:</w:t>
      </w:r>
    </w:p>
    <w:p w14:paraId="6BA1BE9B" w14:textId="1A2E845A" w:rsidR="00740A26" w:rsidRDefault="001D3C6B" w:rsidP="009B4878">
      <w:pPr>
        <w:pStyle w:val="NumberingOutline1"/>
        <w:ind w:left="720"/>
      </w:pPr>
      <w:r w:rsidRPr="00716476">
        <w:t xml:space="preserve">Wilkins Slough: </w:t>
      </w:r>
      <w:r w:rsidR="003D10B9">
        <w:t xml:space="preserve">In response to the concerns expressed in the PAM and the comments on the RDEIR/SDEIS from CDFW and others, </w:t>
      </w:r>
      <w:r w:rsidRPr="00716476">
        <w:t>the Authority increas</w:t>
      </w:r>
      <w:r w:rsidR="006E4BF1">
        <w:t>ed</w:t>
      </w:r>
      <w:r w:rsidRPr="00716476">
        <w:t xml:space="preserve"> the </w:t>
      </w:r>
      <w:r w:rsidR="00784931">
        <w:t>minimum bypass</w:t>
      </w:r>
      <w:r w:rsidRPr="00716476">
        <w:t xml:space="preserve"> flow requirement at Wilkins Slough during October </w:t>
      </w:r>
      <w:r w:rsidRPr="00716476" w:rsidDel="00C21569">
        <w:t xml:space="preserve">to </w:t>
      </w:r>
      <w:r w:rsidR="007F6964">
        <w:t xml:space="preserve">June </w:t>
      </w:r>
      <w:r w:rsidRPr="00716476">
        <w:t>to 10,700 cfs</w:t>
      </w:r>
      <w:r w:rsidR="00DF25C8">
        <w:t xml:space="preserve"> (303 m</w:t>
      </w:r>
      <w:r w:rsidR="00197F4B" w:rsidRPr="00832008">
        <w:rPr>
          <w:vertAlign w:val="superscript"/>
        </w:rPr>
        <w:t>3</w:t>
      </w:r>
      <w:r w:rsidR="00197F4B">
        <w:t>/s)</w:t>
      </w:r>
      <w:r w:rsidR="00A67FDE" w:rsidRPr="00716476">
        <w:t>, which is</w:t>
      </w:r>
      <w:r w:rsidRPr="00716476">
        <w:t xml:space="preserve"> consistent with </w:t>
      </w:r>
      <w:r w:rsidR="006F3B27">
        <w:t xml:space="preserve">the step function identified </w:t>
      </w:r>
      <w:r w:rsidR="00C21569" w:rsidRPr="00716476">
        <w:t xml:space="preserve">to </w:t>
      </w:r>
      <w:r w:rsidR="006F3B27">
        <w:t xml:space="preserve">in </w:t>
      </w:r>
      <w:r w:rsidRPr="00716476">
        <w:t>Michel et al.</w:t>
      </w:r>
      <w:r w:rsidR="006D399A" w:rsidRPr="00716476">
        <w:t xml:space="preserve"> (</w:t>
      </w:r>
      <w:r w:rsidRPr="00716476">
        <w:t>2021</w:t>
      </w:r>
      <w:r w:rsidR="00507051" w:rsidRPr="00716476">
        <w:fldChar w:fldCharType="begin"/>
      </w:r>
      <w:r w:rsidR="00507051" w:rsidRPr="00716476">
        <w:instrText xml:space="preserve"> TC "Michel et al. (2021" \f C \l "1" </w:instrText>
      </w:r>
      <w:r w:rsidR="00507051" w:rsidRPr="00716476">
        <w:fldChar w:fldCharType="end"/>
      </w:r>
      <w:r w:rsidR="006D399A" w:rsidRPr="00716476">
        <w:t>)</w:t>
      </w:r>
      <w:r w:rsidR="006F3B27">
        <w:t xml:space="preserve"> for </w:t>
      </w:r>
      <w:r w:rsidR="001E1AB6">
        <w:t xml:space="preserve">increased </w:t>
      </w:r>
      <w:r w:rsidR="006F3B27">
        <w:t>Chinook salmon survival</w:t>
      </w:r>
      <w:r w:rsidR="001E1AB6">
        <w:t xml:space="preserve"> in the Sacramento River</w:t>
      </w:r>
      <w:r w:rsidRPr="00716476">
        <w:t>.</w:t>
      </w:r>
      <w:r w:rsidR="00E37A76" w:rsidRPr="00716476">
        <w:t xml:space="preserve"> In summary, Michel</w:t>
      </w:r>
      <w:r w:rsidR="006D399A" w:rsidRPr="00716476">
        <w:t xml:space="preserve"> et al.</w:t>
      </w:r>
      <w:r w:rsidR="00E37A76" w:rsidRPr="00716476">
        <w:t xml:space="preserve"> (2021</w:t>
      </w:r>
      <w:r w:rsidR="00507051" w:rsidRPr="00716476">
        <w:fldChar w:fldCharType="begin"/>
      </w:r>
      <w:r w:rsidR="00507051" w:rsidRPr="00716476">
        <w:instrText xml:space="preserve"> TC "Michel et al. (2021" \f C \l "1" </w:instrText>
      </w:r>
      <w:r w:rsidR="00507051" w:rsidRPr="00716476">
        <w:fldChar w:fldCharType="end"/>
      </w:r>
      <w:r w:rsidR="00E37A76" w:rsidRPr="00716476">
        <w:t xml:space="preserve">) </w:t>
      </w:r>
      <w:r w:rsidR="00E7693E" w:rsidRPr="00716476">
        <w:t xml:space="preserve">looked at the challenge of implementing functional flows </w:t>
      </w:r>
      <w:r w:rsidR="00A52E49">
        <w:t>to</w:t>
      </w:r>
      <w:r w:rsidR="00E7693E" w:rsidRPr="00716476">
        <w:t xml:space="preserve"> optimize ecosystem improvements given the limited resources. </w:t>
      </w:r>
      <w:r w:rsidR="002E37AD">
        <w:t xml:space="preserve">The </w:t>
      </w:r>
      <w:r w:rsidR="005B3D1F">
        <w:t xml:space="preserve">minimum bypass flow </w:t>
      </w:r>
      <w:r w:rsidR="00F0331F" w:rsidRPr="00716476">
        <w:t xml:space="preserve">at Wilkins Slough during </w:t>
      </w:r>
      <w:r w:rsidR="00F0331F">
        <w:t xml:space="preserve">September remains at 5,000 cfs. </w:t>
      </w:r>
      <w:r w:rsidR="00D06A31">
        <w:t xml:space="preserve">The Project </w:t>
      </w:r>
      <w:r w:rsidR="00184FC4">
        <w:t>will</w:t>
      </w:r>
      <w:r w:rsidR="00D06A31">
        <w:t xml:space="preserve"> not</w:t>
      </w:r>
      <w:r w:rsidR="00184FC4">
        <w:t xml:space="preserve"> be</w:t>
      </w:r>
      <w:r w:rsidR="00D06A31">
        <w:t xml:space="preserve"> diverting </w:t>
      </w:r>
      <w:r w:rsidR="00184FC4">
        <w:t xml:space="preserve">water </w:t>
      </w:r>
      <w:r w:rsidR="00AB492F">
        <w:t xml:space="preserve">from June 15 to the end of August. </w:t>
      </w:r>
      <w:r w:rsidR="00A23E78">
        <w:t>Revisions have been made to the Project</w:t>
      </w:r>
      <w:r w:rsidR="00EB6693">
        <w:t xml:space="preserve"> diversion criteria. These revisions are reflected in Table </w:t>
      </w:r>
      <w:r w:rsidR="00AC6386">
        <w:t>2</w:t>
      </w:r>
      <w:r w:rsidR="00EB6693">
        <w:t>.</w:t>
      </w:r>
      <w:r w:rsidR="007F662D">
        <w:t xml:space="preserve">  </w:t>
      </w:r>
    </w:p>
    <w:p w14:paraId="183B6DC1" w14:textId="53E8DDC3" w:rsidR="00D54F10" w:rsidRPr="004008FB" w:rsidRDefault="00D54F10" w:rsidP="009B4878">
      <w:pPr>
        <w:pStyle w:val="TableTitle"/>
      </w:pPr>
      <w:r w:rsidRPr="004008FB">
        <w:lastRenderedPageBreak/>
        <w:t xml:space="preserve">Table </w:t>
      </w:r>
      <w:r>
        <w:t>2</w:t>
      </w:r>
      <w:r w:rsidRPr="004008FB">
        <w:t xml:space="preserve">. </w:t>
      </w:r>
      <w:r w:rsidR="00CD63D8">
        <w:t xml:space="preserve">Comparison of RDEIR/SDEIS and </w:t>
      </w:r>
      <w:r>
        <w:t xml:space="preserve">Revised Diversion Criteria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347"/>
        <w:gridCol w:w="3499"/>
        <w:gridCol w:w="3504"/>
      </w:tblGrid>
      <w:tr w:rsidR="008306C0" w:rsidRPr="0016537E" w14:paraId="2306E5BF" w14:textId="77777777" w:rsidTr="009B4878">
        <w:trPr>
          <w:tblHeader/>
        </w:trPr>
        <w:tc>
          <w:tcPr>
            <w:tcW w:w="1255" w:type="pct"/>
            <w:shd w:val="clear" w:color="auto" w:fill="auto"/>
            <w:vAlign w:val="bottom"/>
            <w:hideMark/>
          </w:tcPr>
          <w:p w14:paraId="3AEE3D03" w14:textId="0D6D5F01" w:rsidR="008306C0" w:rsidRPr="0016537E" w:rsidRDefault="005461CB" w:rsidP="00B24070">
            <w:pPr>
              <w:pStyle w:val="TableText0"/>
              <w:jc w:val="center"/>
              <w:rPr>
                <w:b/>
                <w:bCs/>
              </w:rPr>
            </w:pPr>
            <w:r>
              <w:rPr>
                <w:b/>
                <w:bCs/>
              </w:rPr>
              <w:t>Location (Listed from North to South)</w:t>
            </w:r>
          </w:p>
        </w:tc>
        <w:tc>
          <w:tcPr>
            <w:tcW w:w="1871" w:type="pct"/>
            <w:shd w:val="clear" w:color="auto" w:fill="auto"/>
            <w:hideMark/>
          </w:tcPr>
          <w:p w14:paraId="60A762E5" w14:textId="134020D6" w:rsidR="008306C0" w:rsidRPr="0016537E" w:rsidRDefault="008306C0">
            <w:pPr>
              <w:pStyle w:val="TableText0"/>
              <w:jc w:val="center"/>
              <w:rPr>
                <w:b/>
                <w:bCs/>
              </w:rPr>
            </w:pPr>
            <w:r>
              <w:rPr>
                <w:b/>
                <w:bCs/>
              </w:rPr>
              <w:t>RDEIR/SDEIS with Mitigation Included</w:t>
            </w:r>
          </w:p>
        </w:tc>
        <w:tc>
          <w:tcPr>
            <w:tcW w:w="1874" w:type="pct"/>
            <w:shd w:val="clear" w:color="auto" w:fill="auto"/>
            <w:vAlign w:val="bottom"/>
            <w:hideMark/>
          </w:tcPr>
          <w:p w14:paraId="1415CA84" w14:textId="3FB7EB36" w:rsidR="008306C0" w:rsidRPr="0016537E" w:rsidRDefault="008306C0" w:rsidP="00B24070">
            <w:pPr>
              <w:pStyle w:val="TableText0"/>
              <w:jc w:val="center"/>
              <w:rPr>
                <w:b/>
                <w:bCs/>
              </w:rPr>
            </w:pPr>
            <w:r>
              <w:rPr>
                <w:b/>
                <w:bCs/>
              </w:rPr>
              <w:t xml:space="preserve">Revised </w:t>
            </w:r>
            <w:r w:rsidR="00384E59">
              <w:rPr>
                <w:b/>
                <w:bCs/>
              </w:rPr>
              <w:t xml:space="preserve">and Expected in the Final EIR/EIS </w:t>
            </w:r>
          </w:p>
        </w:tc>
      </w:tr>
      <w:tr w:rsidR="008306C0" w:rsidRPr="004008FB" w14:paraId="152E17AE" w14:textId="77777777" w:rsidTr="000B6C8C">
        <w:tc>
          <w:tcPr>
            <w:tcW w:w="1255" w:type="pct"/>
            <w:shd w:val="clear" w:color="auto" w:fill="auto"/>
            <w:vAlign w:val="center"/>
          </w:tcPr>
          <w:p w14:paraId="7A0E4541" w14:textId="7EBB0D44" w:rsidR="008306C0" w:rsidRPr="004008FB" w:rsidRDefault="00123EBD">
            <w:pPr>
              <w:pStyle w:val="TableText0"/>
              <w:spacing w:before="20" w:after="20"/>
            </w:pPr>
            <w:r w:rsidRPr="00123EBD">
              <w:t>Bend Bridge Pulse Protection</w:t>
            </w:r>
          </w:p>
        </w:tc>
        <w:tc>
          <w:tcPr>
            <w:tcW w:w="1871" w:type="pct"/>
            <w:shd w:val="clear" w:color="auto" w:fill="auto"/>
            <w:vAlign w:val="center"/>
          </w:tcPr>
          <w:p w14:paraId="1083B977" w14:textId="1EC45FAE" w:rsidR="008306C0" w:rsidRPr="004008FB" w:rsidRDefault="008E6AD4" w:rsidP="000B6C8C">
            <w:pPr>
              <w:pStyle w:val="TableText0"/>
              <w:spacing w:before="20" w:after="20"/>
            </w:pPr>
            <w:r w:rsidRPr="008E6AD4">
              <w:t xml:space="preserve">Protection of all qualified precipitation-generated pulse events (i.e., peaks in river flow rather than scheduled operational events) from October to May based on the detection of fish presence and migration during the beginning of the flow event. For each event where fish presence and migration </w:t>
            </w:r>
            <w:proofErr w:type="gramStart"/>
            <w:r w:rsidRPr="008E6AD4">
              <w:t>is</w:t>
            </w:r>
            <w:proofErr w:type="gramEnd"/>
            <w:r w:rsidRPr="008E6AD4">
              <w:t xml:space="preserve"> detected, diversions from the Sacramento River would cease for 7 days.</w:t>
            </w:r>
          </w:p>
        </w:tc>
        <w:tc>
          <w:tcPr>
            <w:tcW w:w="1874" w:type="pct"/>
            <w:shd w:val="clear" w:color="auto" w:fill="auto"/>
            <w:vAlign w:val="center"/>
          </w:tcPr>
          <w:p w14:paraId="3B9318E0" w14:textId="41F4E21E" w:rsidR="008306C0" w:rsidRPr="004008FB" w:rsidRDefault="0044636F" w:rsidP="000B6C8C">
            <w:pPr>
              <w:pStyle w:val="TableText0"/>
              <w:spacing w:before="20" w:after="20"/>
            </w:pPr>
            <w:r>
              <w:t xml:space="preserve">Similar except </w:t>
            </w:r>
            <w:r w:rsidR="001F5F08">
              <w:t xml:space="preserve">the following: </w:t>
            </w:r>
            <w:r w:rsidR="009208AB">
              <w:t xml:space="preserve">(1) </w:t>
            </w:r>
            <w:r w:rsidR="002005F1">
              <w:t xml:space="preserve">a qualified precipitation-generated </w:t>
            </w:r>
            <w:r w:rsidR="00B7087F">
              <w:t xml:space="preserve">pulse </w:t>
            </w:r>
            <w:r w:rsidR="002005F1">
              <w:t xml:space="preserve">event is </w:t>
            </w:r>
            <w:r w:rsidR="0050384C">
              <w:t>determined based on forecasted flows</w:t>
            </w:r>
            <w:r w:rsidR="002005F1">
              <w:t xml:space="preserve"> and (2) pulse </w:t>
            </w:r>
            <w:r w:rsidR="00A62742">
              <w:t xml:space="preserve">protection </w:t>
            </w:r>
            <w:r w:rsidR="00476A15">
              <w:t xml:space="preserve">may cease earlier than 7 days if flows at Bend Bridge exceed 29,000 cfs </w:t>
            </w:r>
            <w:r w:rsidR="0018656B">
              <w:t xml:space="preserve">and Project diversions </w:t>
            </w:r>
            <w:r w:rsidR="00150ED5">
              <w:t xml:space="preserve">subtracted </w:t>
            </w:r>
            <w:r w:rsidR="00C377E1">
              <w:t>from Bend Bridge flows continue to be at least 25,000 cfs</w:t>
            </w:r>
          </w:p>
        </w:tc>
      </w:tr>
      <w:tr w:rsidR="008306C0" w:rsidRPr="004008FB" w14:paraId="298D1EAA" w14:textId="77777777" w:rsidTr="000B6C8C">
        <w:tc>
          <w:tcPr>
            <w:tcW w:w="1255" w:type="pct"/>
            <w:shd w:val="clear" w:color="auto" w:fill="auto"/>
            <w:vAlign w:val="center"/>
          </w:tcPr>
          <w:p w14:paraId="7ACABAD8" w14:textId="11F677DE" w:rsidR="008306C0" w:rsidRPr="004008FB" w:rsidRDefault="001C0587">
            <w:pPr>
              <w:pStyle w:val="TableText0"/>
              <w:spacing w:before="20" w:after="20"/>
            </w:pPr>
            <w:r w:rsidRPr="001C0587">
              <w:t>Minimum Bypass Flows in the Sacramento River at the RBPP</w:t>
            </w:r>
          </w:p>
        </w:tc>
        <w:tc>
          <w:tcPr>
            <w:tcW w:w="1871" w:type="pct"/>
            <w:shd w:val="clear" w:color="auto" w:fill="auto"/>
            <w:vAlign w:val="center"/>
          </w:tcPr>
          <w:p w14:paraId="4E6EE67B" w14:textId="31D0D59E" w:rsidR="008306C0" w:rsidRPr="004008FB" w:rsidRDefault="00650449" w:rsidP="000B6C8C">
            <w:pPr>
              <w:pStyle w:val="TableText0"/>
              <w:spacing w:before="20" w:after="20"/>
            </w:pPr>
            <w:r w:rsidRPr="00650449">
              <w:t>3,250 cfs minimum bypass flow at all times; rate of diversion controlled by fish screen design</w:t>
            </w:r>
          </w:p>
        </w:tc>
        <w:tc>
          <w:tcPr>
            <w:tcW w:w="1874" w:type="pct"/>
            <w:shd w:val="clear" w:color="auto" w:fill="auto"/>
            <w:vAlign w:val="center"/>
          </w:tcPr>
          <w:p w14:paraId="0F8CD9D3" w14:textId="4219694A" w:rsidR="008306C0" w:rsidRPr="004008FB" w:rsidRDefault="00B77A43" w:rsidP="000B6C8C">
            <w:pPr>
              <w:pStyle w:val="TableText0"/>
              <w:spacing w:before="20" w:after="20"/>
            </w:pPr>
            <w:r>
              <w:t>No change</w:t>
            </w:r>
          </w:p>
        </w:tc>
      </w:tr>
      <w:tr w:rsidR="008306C0" w:rsidRPr="004008FB" w14:paraId="2CB7E8EB" w14:textId="77777777" w:rsidTr="000B6C8C">
        <w:tc>
          <w:tcPr>
            <w:tcW w:w="1255" w:type="pct"/>
            <w:shd w:val="clear" w:color="auto" w:fill="auto"/>
            <w:vAlign w:val="center"/>
          </w:tcPr>
          <w:p w14:paraId="60D71284" w14:textId="08E27287" w:rsidR="008306C0" w:rsidRPr="004008FB" w:rsidRDefault="00033E3D">
            <w:pPr>
              <w:pStyle w:val="TableText0"/>
              <w:spacing w:before="20" w:after="20"/>
            </w:pPr>
            <w:r w:rsidRPr="00033E3D">
              <w:t>Minimum Bypass Flows in the Sacramento River at the Hamilton City Pump Station</w:t>
            </w:r>
          </w:p>
        </w:tc>
        <w:tc>
          <w:tcPr>
            <w:tcW w:w="1871" w:type="pct"/>
            <w:shd w:val="clear" w:color="auto" w:fill="auto"/>
            <w:vAlign w:val="center"/>
          </w:tcPr>
          <w:p w14:paraId="35EE4C3D" w14:textId="10B8D9BD" w:rsidR="008306C0" w:rsidRPr="004008FB" w:rsidRDefault="001421E1" w:rsidP="000B6C8C">
            <w:pPr>
              <w:pStyle w:val="TableText0"/>
              <w:spacing w:before="20" w:after="20"/>
            </w:pPr>
            <w:r w:rsidRPr="001421E1">
              <w:t>4,000 cfs minimum bypass flow at all times; rate of diversion controlled by fish screen design</w:t>
            </w:r>
          </w:p>
        </w:tc>
        <w:tc>
          <w:tcPr>
            <w:tcW w:w="1874" w:type="pct"/>
            <w:shd w:val="clear" w:color="auto" w:fill="auto"/>
            <w:vAlign w:val="center"/>
          </w:tcPr>
          <w:p w14:paraId="11EF846C" w14:textId="48C05AF7" w:rsidR="008306C0" w:rsidRPr="004008FB" w:rsidRDefault="00B77A43" w:rsidP="000B6C8C">
            <w:pPr>
              <w:pStyle w:val="TableText0"/>
              <w:spacing w:before="20" w:after="20"/>
            </w:pPr>
            <w:r>
              <w:t>No change</w:t>
            </w:r>
          </w:p>
        </w:tc>
      </w:tr>
      <w:tr w:rsidR="008306C0" w:rsidRPr="004008FB" w14:paraId="43A89D01" w14:textId="77777777" w:rsidTr="000B6C8C">
        <w:tc>
          <w:tcPr>
            <w:tcW w:w="1255" w:type="pct"/>
            <w:shd w:val="clear" w:color="auto" w:fill="auto"/>
            <w:vAlign w:val="center"/>
          </w:tcPr>
          <w:p w14:paraId="24D882CB" w14:textId="16841942" w:rsidR="008306C0" w:rsidRPr="004008FB" w:rsidRDefault="00735F11">
            <w:pPr>
              <w:pStyle w:val="TableText0"/>
              <w:spacing w:before="20" w:after="20"/>
            </w:pPr>
            <w:r w:rsidRPr="00735F11">
              <w:t>Minimum Bypass Flows in the Sacramento River at Wilkins Slough</w:t>
            </w:r>
          </w:p>
        </w:tc>
        <w:tc>
          <w:tcPr>
            <w:tcW w:w="1871" w:type="pct"/>
            <w:shd w:val="clear" w:color="auto" w:fill="auto"/>
            <w:vAlign w:val="center"/>
          </w:tcPr>
          <w:p w14:paraId="211E5B06" w14:textId="2C7EE31F" w:rsidR="008306C0" w:rsidRPr="004008FB" w:rsidRDefault="00B77A43" w:rsidP="000B6C8C">
            <w:pPr>
              <w:pStyle w:val="TableText0"/>
              <w:spacing w:before="20" w:after="20"/>
            </w:pPr>
            <w:r>
              <w:t>10</w:t>
            </w:r>
            <w:r w:rsidR="003B02AA" w:rsidRPr="003B02AA">
              <w:t>,</w:t>
            </w:r>
            <w:r>
              <w:t>7</w:t>
            </w:r>
            <w:r w:rsidR="003B02AA" w:rsidRPr="003B02AA">
              <w:t xml:space="preserve">00 cfs in </w:t>
            </w:r>
            <w:r>
              <w:t>March</w:t>
            </w:r>
            <w:r w:rsidR="003B02AA" w:rsidRPr="003B02AA">
              <w:t xml:space="preserve"> </w:t>
            </w:r>
            <w:r>
              <w:t>through</w:t>
            </w:r>
            <w:r w:rsidR="003B02AA" w:rsidRPr="003B02AA">
              <w:t xml:space="preserve"> May; 5,000 cfs all other times</w:t>
            </w:r>
          </w:p>
        </w:tc>
        <w:tc>
          <w:tcPr>
            <w:tcW w:w="1874" w:type="pct"/>
            <w:shd w:val="clear" w:color="auto" w:fill="auto"/>
            <w:vAlign w:val="center"/>
          </w:tcPr>
          <w:p w14:paraId="2496AE47" w14:textId="59F22B89" w:rsidR="008306C0" w:rsidRPr="004008FB" w:rsidRDefault="008C1D29" w:rsidP="000B6C8C">
            <w:pPr>
              <w:pStyle w:val="TableText0"/>
              <w:spacing w:before="20" w:after="20"/>
            </w:pPr>
            <w:r>
              <w:t>10</w:t>
            </w:r>
            <w:r w:rsidRPr="003B02AA">
              <w:t>,</w:t>
            </w:r>
            <w:r>
              <w:t>7</w:t>
            </w:r>
            <w:r w:rsidRPr="003B02AA">
              <w:t xml:space="preserve">00 cfs </w:t>
            </w:r>
            <w:r>
              <w:t>October through June</w:t>
            </w:r>
            <w:r w:rsidRPr="003B02AA">
              <w:t xml:space="preserve">; 5,000 cfs </w:t>
            </w:r>
            <w:r w:rsidR="00832431">
              <w:t>September (not diverting from June 15 to end of August)</w:t>
            </w:r>
          </w:p>
        </w:tc>
      </w:tr>
      <w:tr w:rsidR="008306C0" w:rsidRPr="004008FB" w14:paraId="7A3D187B" w14:textId="77777777" w:rsidTr="000B6C8C">
        <w:tc>
          <w:tcPr>
            <w:tcW w:w="1255" w:type="pct"/>
            <w:shd w:val="clear" w:color="auto" w:fill="auto"/>
            <w:vAlign w:val="center"/>
          </w:tcPr>
          <w:p w14:paraId="7EC3DE81" w14:textId="6AC6DF11" w:rsidR="008306C0" w:rsidRPr="004008FB" w:rsidRDefault="000836F6">
            <w:pPr>
              <w:pStyle w:val="TableText0"/>
              <w:spacing w:before="20" w:after="20"/>
            </w:pPr>
            <w:r w:rsidRPr="000836F6">
              <w:t>Fremont Weir Notch Protections</w:t>
            </w:r>
          </w:p>
        </w:tc>
        <w:tc>
          <w:tcPr>
            <w:tcW w:w="1871" w:type="pct"/>
            <w:shd w:val="clear" w:color="auto" w:fill="auto"/>
            <w:vAlign w:val="center"/>
          </w:tcPr>
          <w:p w14:paraId="3B3BF825" w14:textId="05983BDA" w:rsidR="008306C0" w:rsidRPr="004008FB" w:rsidRDefault="008A3E52" w:rsidP="000B6C8C">
            <w:pPr>
              <w:pStyle w:val="TableText0"/>
              <w:spacing w:before="20" w:after="20"/>
            </w:pPr>
            <w:r w:rsidRPr="008A3E52">
              <w:t xml:space="preserve">No more than 1% reduction in flow over weir when spill over the weir </w:t>
            </w:r>
            <w:proofErr w:type="gramStart"/>
            <w:r w:rsidRPr="008A3E52">
              <w:t>are</w:t>
            </w:r>
            <w:proofErr w:type="gramEnd"/>
            <w:r w:rsidRPr="008A3E52">
              <w:t xml:space="preserve"> less than 600 cfs. No more than a 10% reduction </w:t>
            </w:r>
            <w:r w:rsidR="00DE153F">
              <w:t>in</w:t>
            </w:r>
            <w:r w:rsidRPr="008A3E52">
              <w:t xml:space="preserve"> flow over weir when spills over the weir are between 600 cfs and 6,000 cfs. No restriction when flows over the weir are greater than 6,000 cfs</w:t>
            </w:r>
          </w:p>
        </w:tc>
        <w:tc>
          <w:tcPr>
            <w:tcW w:w="1874" w:type="pct"/>
            <w:shd w:val="clear" w:color="auto" w:fill="auto"/>
            <w:vAlign w:val="center"/>
          </w:tcPr>
          <w:p w14:paraId="06AB71E5" w14:textId="40C8997E" w:rsidR="008306C0" w:rsidRPr="004008FB" w:rsidRDefault="002203B7" w:rsidP="000B6C8C">
            <w:pPr>
              <w:pStyle w:val="TableText0"/>
              <w:spacing w:before="20" w:after="20"/>
            </w:pPr>
            <w:r>
              <w:t xml:space="preserve">No longer included. Revised </w:t>
            </w:r>
            <w:r w:rsidR="00692F7C">
              <w:t>m</w:t>
            </w:r>
            <w:r w:rsidR="00692F7C" w:rsidRPr="00735F11">
              <w:t>inimum</w:t>
            </w:r>
            <w:r w:rsidR="00C44FFA" w:rsidRPr="00735F11">
              <w:t xml:space="preserve"> </w:t>
            </w:r>
            <w:r w:rsidR="00C44FFA">
              <w:t>b</w:t>
            </w:r>
            <w:r w:rsidR="00C44FFA" w:rsidRPr="00735F11">
              <w:t xml:space="preserve">ypass </w:t>
            </w:r>
            <w:r w:rsidR="00C44FFA">
              <w:t>f</w:t>
            </w:r>
            <w:r w:rsidR="00C44FFA" w:rsidRPr="00735F11">
              <w:t>lows in the Sacramento River at Wilkins Slough</w:t>
            </w:r>
            <w:r w:rsidR="00C44FFA">
              <w:t xml:space="preserve"> and </w:t>
            </w:r>
            <w:r w:rsidR="00692F7C">
              <w:t>Bend Bridge Pulse Protection provide protections for Fremont Weir Notch</w:t>
            </w:r>
          </w:p>
        </w:tc>
      </w:tr>
      <w:tr w:rsidR="008306C0" w:rsidRPr="004008FB" w14:paraId="1F76FB41" w14:textId="77777777" w:rsidTr="000B6C8C">
        <w:tc>
          <w:tcPr>
            <w:tcW w:w="1255" w:type="pct"/>
            <w:shd w:val="clear" w:color="auto" w:fill="auto"/>
            <w:vAlign w:val="center"/>
          </w:tcPr>
          <w:p w14:paraId="3CFF0D30" w14:textId="708135C2" w:rsidR="008306C0" w:rsidRPr="004008FB" w:rsidRDefault="00244707">
            <w:pPr>
              <w:pStyle w:val="TableText0"/>
              <w:spacing w:before="20" w:after="20"/>
            </w:pPr>
            <w:r w:rsidRPr="00244707">
              <w:t>Freeport, Net Delta Outflow Index, X2, and Delta Water Quality</w:t>
            </w:r>
          </w:p>
        </w:tc>
        <w:tc>
          <w:tcPr>
            <w:tcW w:w="1871" w:type="pct"/>
            <w:shd w:val="clear" w:color="auto" w:fill="auto"/>
            <w:vAlign w:val="center"/>
          </w:tcPr>
          <w:p w14:paraId="1FA9AFF9" w14:textId="7C043A33" w:rsidR="008306C0" w:rsidRPr="004008FB" w:rsidRDefault="00B77A43" w:rsidP="000B6C8C">
            <w:pPr>
              <w:pStyle w:val="TableText0"/>
              <w:spacing w:before="20" w:after="20"/>
            </w:pPr>
            <w:r w:rsidRPr="00B77A43">
              <w:t>Operations consistent with all applicable laws, regulations, biological opinions and incidental take permits, and court orders in place at the time that diversion occurs</w:t>
            </w:r>
          </w:p>
        </w:tc>
        <w:tc>
          <w:tcPr>
            <w:tcW w:w="1874" w:type="pct"/>
            <w:shd w:val="clear" w:color="auto" w:fill="auto"/>
            <w:vAlign w:val="center"/>
          </w:tcPr>
          <w:p w14:paraId="4BD0AC83" w14:textId="2D9803BA" w:rsidR="008306C0" w:rsidRPr="004008FB" w:rsidRDefault="00E61749" w:rsidP="000B6C8C">
            <w:pPr>
              <w:pStyle w:val="TableText0"/>
              <w:spacing w:before="20" w:after="20"/>
            </w:pPr>
            <w:r>
              <w:t>No change</w:t>
            </w:r>
          </w:p>
        </w:tc>
      </w:tr>
    </w:tbl>
    <w:p w14:paraId="47F6060E" w14:textId="4A86250F" w:rsidR="00D54F10" w:rsidRPr="004008FB" w:rsidRDefault="001C585C" w:rsidP="000B6C8C">
      <w:pPr>
        <w:pStyle w:val="TableNotes"/>
      </w:pPr>
      <w:r>
        <w:rPr>
          <w:sz w:val="16"/>
          <w:szCs w:val="16"/>
        </w:rPr>
        <w:t>Note:  This table mimics Table 2-5 in the RDEIR/SDEIS</w:t>
      </w:r>
      <w:r w:rsidR="003A1568">
        <w:rPr>
          <w:sz w:val="16"/>
          <w:szCs w:val="16"/>
        </w:rPr>
        <w:t xml:space="preserve"> and the Wilki</w:t>
      </w:r>
      <w:r w:rsidR="00641FBD">
        <w:rPr>
          <w:sz w:val="16"/>
          <w:szCs w:val="16"/>
        </w:rPr>
        <w:t>n</w:t>
      </w:r>
      <w:r w:rsidR="003A1568">
        <w:rPr>
          <w:sz w:val="16"/>
          <w:szCs w:val="16"/>
        </w:rPr>
        <w:t xml:space="preserve">s Slough flow requirements have been incorporated into the Project Description. </w:t>
      </w:r>
    </w:p>
    <w:p w14:paraId="32AB74D5" w14:textId="2D5C0B2D" w:rsidR="001D3C6B" w:rsidRPr="00716476" w:rsidRDefault="001D3C6B" w:rsidP="00801C6C">
      <w:pPr>
        <w:pStyle w:val="mainbodytext"/>
      </w:pPr>
      <w:r w:rsidRPr="00716476">
        <w:t xml:space="preserve">The </w:t>
      </w:r>
      <w:r w:rsidR="00A1126F" w:rsidRPr="00716476">
        <w:t>Authority</w:t>
      </w:r>
      <w:r w:rsidRPr="00716476">
        <w:t xml:space="preserve"> </w:t>
      </w:r>
      <w:r w:rsidR="00650B77">
        <w:t>is</w:t>
      </w:r>
      <w:r w:rsidRPr="00716476">
        <w:t xml:space="preserve"> working with</w:t>
      </w:r>
      <w:r w:rsidR="00A1126F" w:rsidRPr="00716476">
        <w:t xml:space="preserve"> Reclamation </w:t>
      </w:r>
      <w:r w:rsidRPr="00716476">
        <w:t xml:space="preserve">to </w:t>
      </w:r>
      <w:r w:rsidR="007F29AE">
        <w:t>revise</w:t>
      </w:r>
      <w:r w:rsidRPr="00716476">
        <w:t xml:space="preserve"> the model</w:t>
      </w:r>
      <w:r w:rsidR="007F29AE">
        <w:t>ing and determination of</w:t>
      </w:r>
      <w:r w:rsidRPr="00716476">
        <w:t xml:space="preserve"> effects of </w:t>
      </w:r>
      <w:r w:rsidR="00C522AF">
        <w:t>the Project</w:t>
      </w:r>
      <w:r w:rsidR="00567236">
        <w:t xml:space="preserve">’s </w:t>
      </w:r>
      <w:r w:rsidR="00613846">
        <w:t xml:space="preserve">revised </w:t>
      </w:r>
      <w:r w:rsidRPr="00716476">
        <w:t xml:space="preserve">operations </w:t>
      </w:r>
      <w:r w:rsidR="006944E6">
        <w:t xml:space="preserve">criteria </w:t>
      </w:r>
      <w:r w:rsidRPr="00716476">
        <w:t xml:space="preserve">on fisheries resources. The Authority </w:t>
      </w:r>
      <w:r w:rsidR="000904E6">
        <w:t>is also in</w:t>
      </w:r>
      <w:r w:rsidRPr="00716476">
        <w:t xml:space="preserve"> </w:t>
      </w:r>
      <w:r w:rsidR="00A1126F" w:rsidRPr="00716476">
        <w:t xml:space="preserve">ongoing conversations with Reclamation, CDFW, NMFS, and USFWS to develop </w:t>
      </w:r>
      <w:r w:rsidRPr="00716476">
        <w:t>language to describe how these operational requirements will be implemented</w:t>
      </w:r>
      <w:r w:rsidR="00B1169C">
        <w:t xml:space="preserve"> and </w:t>
      </w:r>
      <w:r w:rsidR="002D1FBE">
        <w:t xml:space="preserve">develop </w:t>
      </w:r>
      <w:r w:rsidR="00B1169C">
        <w:t xml:space="preserve">the </w:t>
      </w:r>
      <w:r w:rsidR="00374EFE">
        <w:t xml:space="preserve">associated </w:t>
      </w:r>
      <w:r w:rsidR="00B1169C">
        <w:t>fish monitoring program</w:t>
      </w:r>
      <w:r w:rsidR="0073537E" w:rsidRPr="00716476">
        <w:t xml:space="preserve">. </w:t>
      </w:r>
    </w:p>
    <w:p w14:paraId="024AF788" w14:textId="2B3C9931" w:rsidR="001D3C6B" w:rsidRPr="00716476" w:rsidRDefault="001D3C6B" w:rsidP="00801C6C">
      <w:pPr>
        <w:pStyle w:val="NumberingOutline1"/>
        <w:numPr>
          <w:ilvl w:val="1"/>
          <w:numId w:val="30"/>
        </w:numPr>
        <w:ind w:left="720"/>
      </w:pPr>
      <w:r w:rsidRPr="00716476">
        <w:t>Upstream habitat: The Authority agrees diverting flow can have effects on habitat volume and available food that are likely more limiting, and not apparent in</w:t>
      </w:r>
      <w:r w:rsidR="00A1126F" w:rsidRPr="00716476">
        <w:t xml:space="preserve"> </w:t>
      </w:r>
      <w:r w:rsidRPr="00716476">
        <w:t xml:space="preserve">WUA calculations. The </w:t>
      </w:r>
      <w:r w:rsidR="00A1126F" w:rsidRPr="00716476">
        <w:t>WUA</w:t>
      </w:r>
      <w:r w:rsidRPr="00716476">
        <w:t xml:space="preserve"> is </w:t>
      </w:r>
      <w:r w:rsidR="0073537E" w:rsidRPr="00716476">
        <w:t>derived from</w:t>
      </w:r>
      <w:r w:rsidRPr="00716476">
        <w:t xml:space="preserve"> the CALSIM runs and as such th</w:t>
      </w:r>
      <w:r w:rsidR="00E25DCE">
        <w:t xml:space="preserve">e WUA’s </w:t>
      </w:r>
      <w:r w:rsidRPr="00716476">
        <w:t xml:space="preserve">are based on monthly averages </w:t>
      </w:r>
      <w:r w:rsidR="0073537E" w:rsidRPr="00716476">
        <w:t>that</w:t>
      </w:r>
      <w:r w:rsidRPr="00716476">
        <w:t xml:space="preserve"> may not accurately reflect real time operations. The analysis in</w:t>
      </w:r>
      <w:r w:rsidR="00A269DB" w:rsidRPr="00716476">
        <w:t xml:space="preserve"> Chapter 11, </w:t>
      </w:r>
      <w:r w:rsidR="00A269DB" w:rsidRPr="00104DEA">
        <w:rPr>
          <w:i/>
          <w:iCs/>
        </w:rPr>
        <w:t>Aquatic Biological Resources</w:t>
      </w:r>
      <w:r w:rsidR="00A269DB" w:rsidRPr="00716476">
        <w:t>, of</w:t>
      </w:r>
      <w:r w:rsidRPr="00716476">
        <w:t xml:space="preserve"> the RDEIR/SDEIS considers factors such as temperature, flow, </w:t>
      </w:r>
      <w:r w:rsidR="0073537E" w:rsidRPr="00716476">
        <w:t xml:space="preserve">and the </w:t>
      </w:r>
      <w:r w:rsidRPr="00716476">
        <w:t>effect</w:t>
      </w:r>
      <w:r w:rsidR="0073537E" w:rsidRPr="00716476">
        <w:t>s</w:t>
      </w:r>
      <w:r w:rsidRPr="00716476">
        <w:t xml:space="preserve"> of flow reductions on side channel and floodplain habitats to support its </w:t>
      </w:r>
      <w:r w:rsidR="00EC6102" w:rsidRPr="00716476">
        <w:t xml:space="preserve">impact determination </w:t>
      </w:r>
      <w:r w:rsidRPr="00716476">
        <w:t>of less than significant with mitigation for salmonids.</w:t>
      </w:r>
    </w:p>
    <w:p w14:paraId="514B2982" w14:textId="71FB31A0" w:rsidR="001D3C6B" w:rsidRPr="00716476" w:rsidRDefault="001D3C6B" w:rsidP="00801C6C">
      <w:pPr>
        <w:pStyle w:val="mainbodytext"/>
        <w:ind w:left="720"/>
      </w:pPr>
      <w:r w:rsidRPr="00716476">
        <w:lastRenderedPageBreak/>
        <w:t xml:space="preserve">The Authority </w:t>
      </w:r>
      <w:r w:rsidR="00EA2C86">
        <w:t>will revise</w:t>
      </w:r>
      <w:r w:rsidRPr="00716476">
        <w:t xml:space="preserve"> the CALSIM analysis with the </w:t>
      </w:r>
      <w:r w:rsidR="007D1C4D">
        <w:t xml:space="preserve">revised diversion criteria </w:t>
      </w:r>
      <w:r w:rsidR="009E221E">
        <w:t xml:space="preserve">and enhanced anadromous </w:t>
      </w:r>
      <w:r w:rsidR="00116EA2">
        <w:t xml:space="preserve">fish benefits </w:t>
      </w:r>
      <w:r w:rsidRPr="00716476">
        <w:t xml:space="preserve">to reassess the effects on </w:t>
      </w:r>
      <w:r w:rsidR="00A1126F" w:rsidRPr="00716476">
        <w:t>WUA</w:t>
      </w:r>
      <w:r w:rsidR="00763236">
        <w:t xml:space="preserve"> in the Final EIR/EIS</w:t>
      </w:r>
      <w:r w:rsidRPr="00716476">
        <w:t xml:space="preserve">. </w:t>
      </w:r>
      <w:r w:rsidR="003E0937" w:rsidRPr="00716476">
        <w:t>During 2022, t</w:t>
      </w:r>
      <w:r w:rsidRPr="00716476">
        <w:t xml:space="preserve">he Authority will work with </w:t>
      </w:r>
      <w:r w:rsidR="00F43751" w:rsidRPr="00716476">
        <w:t>Reclamation</w:t>
      </w:r>
      <w:r w:rsidRPr="00716476">
        <w:t>, USFWS,</w:t>
      </w:r>
      <w:r w:rsidR="003E0937" w:rsidRPr="00716476">
        <w:t xml:space="preserve"> </w:t>
      </w:r>
      <w:r w:rsidR="00AD6A21">
        <w:t xml:space="preserve">NMFS, and </w:t>
      </w:r>
      <w:r w:rsidR="003E0937" w:rsidRPr="00716476">
        <w:t>CDFW to r</w:t>
      </w:r>
      <w:r w:rsidRPr="00716476">
        <w:t xml:space="preserve">eview the revised </w:t>
      </w:r>
      <w:r w:rsidR="00750C1C">
        <w:t>modeling</w:t>
      </w:r>
      <w:r w:rsidR="00750C1C" w:rsidRPr="00716476">
        <w:t xml:space="preserve"> </w:t>
      </w:r>
      <w:r w:rsidRPr="00716476">
        <w:t xml:space="preserve">and related analyses to assess the adequacy of the analysis and work toward consensus on </w:t>
      </w:r>
      <w:r w:rsidR="00EC6102" w:rsidRPr="00716476">
        <w:t>impact</w:t>
      </w:r>
      <w:r w:rsidRPr="00716476">
        <w:t xml:space="preserve"> determinations and any measures needed to reduce </w:t>
      </w:r>
      <w:r w:rsidR="00EC6102" w:rsidRPr="00716476">
        <w:t>impacts</w:t>
      </w:r>
      <w:r w:rsidRPr="00716476">
        <w:t xml:space="preserve"> to </w:t>
      </w:r>
      <w:r w:rsidR="00E25DCE">
        <w:t xml:space="preserve">less than significant </w:t>
      </w:r>
      <w:r w:rsidRPr="00716476">
        <w:t>levels</w:t>
      </w:r>
      <w:r w:rsidR="009255FA">
        <w:t xml:space="preserve"> (CEQA) and no adverse effects (NEPA)</w:t>
      </w:r>
      <w:r w:rsidRPr="00716476">
        <w:t>.</w:t>
      </w:r>
    </w:p>
    <w:p w14:paraId="6084C4F5" w14:textId="07A7727B" w:rsidR="00833033" w:rsidRPr="00833033" w:rsidRDefault="001D3C6B" w:rsidP="000B6C8C">
      <w:pPr>
        <w:pStyle w:val="NumberingOutline1"/>
        <w:ind w:left="720"/>
      </w:pPr>
      <w:r w:rsidRPr="00716476">
        <w:t xml:space="preserve">Sturgeon: </w:t>
      </w:r>
      <w:proofErr w:type="spellStart"/>
      <w:r w:rsidR="00510CB3">
        <w:t>Shaffter</w:t>
      </w:r>
      <w:proofErr w:type="spellEnd"/>
      <w:r w:rsidR="00510CB3">
        <w:t xml:space="preserve"> (1997) reported spawning on white sturgeon in the Sacramento River at flows </w:t>
      </w:r>
      <w:r w:rsidR="00FB5E2E" w:rsidRPr="008D061B">
        <w:t>o</w:t>
      </w:r>
      <w:r w:rsidR="00FB5E2E">
        <w:t>f</w:t>
      </w:r>
      <w:r w:rsidR="00FB5E2E" w:rsidRPr="008D061B">
        <w:t xml:space="preserve"> </w:t>
      </w:r>
      <w:r w:rsidR="00D03833">
        <w:t xml:space="preserve">about </w:t>
      </w:r>
      <w:r w:rsidR="00F154A9">
        <w:t>6</w:t>
      </w:r>
      <w:r w:rsidR="001629FE">
        <w:t>,</w:t>
      </w:r>
      <w:r w:rsidR="002C18BF">
        <w:t xml:space="preserve">500 </w:t>
      </w:r>
      <w:r w:rsidR="001629FE">
        <w:t>to 6,640 cfs (</w:t>
      </w:r>
      <w:r w:rsidR="007D49FB">
        <w:t xml:space="preserve">184 to 188 </w:t>
      </w:r>
      <w:r w:rsidR="007D49FB" w:rsidRPr="000B6C8C">
        <w:t>m</w:t>
      </w:r>
      <w:r w:rsidR="007D49FB" w:rsidRPr="000B6C8C">
        <w:rPr>
          <w:vertAlign w:val="superscript"/>
        </w:rPr>
        <w:t>3</w:t>
      </w:r>
      <w:r w:rsidR="007D49FB">
        <w:t>/s</w:t>
      </w:r>
      <w:r w:rsidR="001629FE">
        <w:t>)</w:t>
      </w:r>
      <w:r w:rsidR="007D49FB">
        <w:t xml:space="preserve"> after observing pulse of </w:t>
      </w:r>
      <w:r w:rsidR="00C427EC">
        <w:t>about 1,400 cfs (</w:t>
      </w:r>
      <w:r w:rsidR="007D49FB">
        <w:t>40</w:t>
      </w:r>
      <w:r w:rsidR="007D49FB" w:rsidRPr="00104DEA">
        <w:t xml:space="preserve"> </w:t>
      </w:r>
      <w:r w:rsidR="007D49FB" w:rsidRPr="007D49FB">
        <w:t>m</w:t>
      </w:r>
      <w:r w:rsidR="007D49FB" w:rsidRPr="000B6C8C">
        <w:rPr>
          <w:vertAlign w:val="superscript"/>
        </w:rPr>
        <w:t>3</w:t>
      </w:r>
      <w:r w:rsidR="007D49FB" w:rsidRPr="007D49FB">
        <w:t>/s</w:t>
      </w:r>
      <w:r w:rsidR="00C427EC">
        <w:t>)</w:t>
      </w:r>
      <w:r w:rsidR="007D49FB" w:rsidRPr="007D49FB">
        <w:t xml:space="preserve"> </w:t>
      </w:r>
      <w:r w:rsidR="007D49FB">
        <w:t xml:space="preserve">over base flow conditions. This reference appears to be the source for the concern. The Authority’s decision to adopt a higher </w:t>
      </w:r>
      <w:r w:rsidR="000651C1">
        <w:t xml:space="preserve">minimum bypass flow at </w:t>
      </w:r>
      <w:r w:rsidR="007D49FB">
        <w:t xml:space="preserve">Wilkins Slough and the </w:t>
      </w:r>
      <w:r w:rsidR="00063A4B">
        <w:t xml:space="preserve">Project’s </w:t>
      </w:r>
      <w:r w:rsidR="007D49FB">
        <w:t xml:space="preserve">pulse flow protection measure </w:t>
      </w:r>
      <w:r w:rsidR="00063A4B">
        <w:t>would</w:t>
      </w:r>
      <w:r w:rsidR="007D49FB">
        <w:t xml:space="preserve"> ensure </w:t>
      </w:r>
      <w:r w:rsidR="00CD6339">
        <w:t xml:space="preserve">the </w:t>
      </w:r>
      <w:r w:rsidR="007D49FB">
        <w:t>Project diversion do not cause flows to decline below those likely to influence sturgeon migration an</w:t>
      </w:r>
      <w:r w:rsidR="00657C24">
        <w:t>d</w:t>
      </w:r>
      <w:r w:rsidR="007D49FB">
        <w:t xml:space="preserve"> spawning.  </w:t>
      </w:r>
    </w:p>
    <w:p w14:paraId="6ECF4179" w14:textId="603A45AA" w:rsidR="001D3C6B" w:rsidRPr="001D3C6B" w:rsidRDefault="003E0937" w:rsidP="00716476">
      <w:pPr>
        <w:pStyle w:val="mainbodytext"/>
      </w:pPr>
      <w:bookmarkStart w:id="13" w:name="_Hlk99453956"/>
      <w:r w:rsidRPr="00977C0D">
        <w:rPr>
          <w:b/>
          <w:bCs/>
        </w:rPr>
        <w:t xml:space="preserve">Key </w:t>
      </w:r>
      <w:r w:rsidR="007D49FB" w:rsidRPr="00977C0D">
        <w:rPr>
          <w:b/>
          <w:bCs/>
        </w:rPr>
        <w:t>Concern</w:t>
      </w:r>
      <w:r w:rsidR="001D3C6B" w:rsidRPr="00977C0D">
        <w:rPr>
          <w:b/>
          <w:bCs/>
        </w:rPr>
        <w:t>:</w:t>
      </w:r>
      <w:r w:rsidR="001D3C6B" w:rsidRPr="001D3C6B">
        <w:t xml:space="preserve"> The relationship between pulses and fish movement is not a precise relationship. Longer and more frequent flows may be necessary to protect downstream-migrating juvenile salmon. </w:t>
      </w:r>
    </w:p>
    <w:bookmarkEnd w:id="13"/>
    <w:p w14:paraId="200FC322" w14:textId="4D3ED467" w:rsidR="001D3C6B" w:rsidRPr="001D3C6B" w:rsidRDefault="001D3C6B" w:rsidP="00716476">
      <w:pPr>
        <w:pStyle w:val="mainbodytext"/>
      </w:pPr>
      <w:r w:rsidRPr="001D3C6B">
        <w:rPr>
          <w:b/>
          <w:bCs/>
        </w:rPr>
        <w:t>Response:</w:t>
      </w:r>
      <w:r w:rsidRPr="001D3C6B">
        <w:t xml:space="preserve"> </w:t>
      </w:r>
      <w:r w:rsidR="000C0822">
        <w:rPr>
          <w:rFonts w:cs="Times New Roman"/>
          <w:szCs w:val="24"/>
        </w:rPr>
        <w:t xml:space="preserve">The </w:t>
      </w:r>
      <w:r w:rsidR="003370DD">
        <w:rPr>
          <w:rFonts w:cs="Times New Roman"/>
          <w:szCs w:val="24"/>
        </w:rPr>
        <w:t>Project’s</w:t>
      </w:r>
      <w:r w:rsidR="000C0822">
        <w:rPr>
          <w:rFonts w:cs="Times New Roman"/>
          <w:szCs w:val="24"/>
        </w:rPr>
        <w:t xml:space="preserve"> pulse protection measure </w:t>
      </w:r>
      <w:r w:rsidR="00D368D0">
        <w:rPr>
          <w:rFonts w:cs="Times New Roman"/>
          <w:szCs w:val="24"/>
        </w:rPr>
        <w:t xml:space="preserve">is </w:t>
      </w:r>
      <w:r w:rsidR="003370DD">
        <w:rPr>
          <w:rFonts w:cs="Times New Roman"/>
          <w:szCs w:val="24"/>
        </w:rPr>
        <w:t xml:space="preserve">intended </w:t>
      </w:r>
      <w:r w:rsidR="00A34067">
        <w:rPr>
          <w:rFonts w:cs="Times New Roman"/>
          <w:szCs w:val="24"/>
        </w:rPr>
        <w:t>to</w:t>
      </w:r>
      <w:r w:rsidR="000C0822">
        <w:rPr>
          <w:rFonts w:cs="Times New Roman"/>
          <w:szCs w:val="24"/>
        </w:rPr>
        <w:t xml:space="preserve"> account for the importance of pulses in stimulating and providing for the redistribution of juvenile fish f</w:t>
      </w:r>
      <w:r w:rsidR="002043E5">
        <w:rPr>
          <w:rFonts w:cs="Times New Roman"/>
          <w:szCs w:val="24"/>
        </w:rPr>
        <w:t>rom</w:t>
      </w:r>
      <w:r w:rsidR="000C0822">
        <w:rPr>
          <w:rFonts w:cs="Times New Roman"/>
          <w:szCs w:val="24"/>
        </w:rPr>
        <w:t xml:space="preserve"> their spawning grounds to downstream rearing areas and seaward migration (Poytress 2014,</w:t>
      </w:r>
      <w:r w:rsidR="005B0C13">
        <w:rPr>
          <w:rFonts w:cs="Times New Roman"/>
          <w:szCs w:val="24"/>
        </w:rPr>
        <w:t xml:space="preserve"> Steel 2020,</w:t>
      </w:r>
      <w:r w:rsidR="000C0822">
        <w:rPr>
          <w:rFonts w:cs="Times New Roman"/>
          <w:szCs w:val="24"/>
        </w:rPr>
        <w:t xml:space="preserve"> Michel 2021, Hassrick 2022). </w:t>
      </w:r>
      <w:r w:rsidR="000C3942">
        <w:rPr>
          <w:rFonts w:cs="Times New Roman"/>
          <w:szCs w:val="24"/>
        </w:rPr>
        <w:t xml:space="preserve">The Authority recognizes that the </w:t>
      </w:r>
      <w:r w:rsidR="004315B2">
        <w:rPr>
          <w:rFonts w:cs="Times New Roman"/>
          <w:szCs w:val="24"/>
        </w:rPr>
        <w:t>precise relationship between flow pulses and fish movement is not known</w:t>
      </w:r>
      <w:r w:rsidR="006A1172">
        <w:rPr>
          <w:rFonts w:cs="Times New Roman"/>
          <w:szCs w:val="24"/>
        </w:rPr>
        <w:t xml:space="preserve"> at this time. As such, the Authority</w:t>
      </w:r>
      <w:r w:rsidR="004315B2">
        <w:rPr>
          <w:rFonts w:cs="Times New Roman"/>
          <w:szCs w:val="24"/>
        </w:rPr>
        <w:t xml:space="preserve"> intends to</w:t>
      </w:r>
      <w:r w:rsidR="000C0822">
        <w:rPr>
          <w:rFonts w:cs="Times New Roman"/>
          <w:szCs w:val="24"/>
        </w:rPr>
        <w:t xml:space="preserve"> </w:t>
      </w:r>
      <w:r w:rsidR="003029C4" w:rsidRPr="003029C4">
        <w:rPr>
          <w:rFonts w:cs="Times New Roman"/>
        </w:rPr>
        <w:t xml:space="preserve">incorporate </w:t>
      </w:r>
      <w:r w:rsidR="00D21EE2">
        <w:rPr>
          <w:rFonts w:cs="Times New Roman"/>
        </w:rPr>
        <w:t>the</w:t>
      </w:r>
      <w:r w:rsidR="003029C4" w:rsidRPr="003029C4">
        <w:rPr>
          <w:rFonts w:cs="Times New Roman"/>
        </w:rPr>
        <w:t xml:space="preserve"> pulse protection criteria</w:t>
      </w:r>
      <w:r w:rsidR="00667C96">
        <w:rPr>
          <w:rFonts w:cs="Times New Roman"/>
        </w:rPr>
        <w:t xml:space="preserve">, </w:t>
      </w:r>
      <w:r w:rsidR="00667C96" w:rsidRPr="00E25DCE">
        <w:rPr>
          <w:rFonts w:cs="Times New Roman"/>
          <w:szCs w:val="24"/>
        </w:rPr>
        <w:t xml:space="preserve">and strategies for evaluating the effectiveness of the </w:t>
      </w:r>
      <w:r w:rsidR="00667C96">
        <w:rPr>
          <w:rFonts w:cs="Times New Roman"/>
          <w:szCs w:val="24"/>
        </w:rPr>
        <w:t>criteria,</w:t>
      </w:r>
      <w:r w:rsidR="003029C4" w:rsidRPr="003029C4">
        <w:rPr>
          <w:rFonts w:cs="Times New Roman"/>
        </w:rPr>
        <w:t xml:space="preserve"> into its adaptive management plan to address th</w:t>
      </w:r>
      <w:r w:rsidR="00C5448B">
        <w:rPr>
          <w:rFonts w:cs="Times New Roman"/>
        </w:rPr>
        <w:t>is</w:t>
      </w:r>
      <w:r w:rsidR="003029C4" w:rsidRPr="003029C4">
        <w:rPr>
          <w:rFonts w:cs="Times New Roman"/>
        </w:rPr>
        <w:t xml:space="preserve"> uncertainty and </w:t>
      </w:r>
      <w:r w:rsidR="00EC48C6">
        <w:rPr>
          <w:rFonts w:cs="Times New Roman"/>
        </w:rPr>
        <w:t xml:space="preserve">continue to </w:t>
      </w:r>
      <w:r w:rsidR="003029C4" w:rsidRPr="003029C4">
        <w:rPr>
          <w:rFonts w:cs="Times New Roman"/>
        </w:rPr>
        <w:t xml:space="preserve">refine </w:t>
      </w:r>
      <w:r w:rsidR="00EC48C6">
        <w:rPr>
          <w:rFonts w:cs="Times New Roman"/>
        </w:rPr>
        <w:t>the</w:t>
      </w:r>
      <w:r w:rsidR="00EC48C6" w:rsidRPr="003029C4">
        <w:rPr>
          <w:rFonts w:cs="Times New Roman"/>
        </w:rPr>
        <w:t xml:space="preserve"> </w:t>
      </w:r>
      <w:r w:rsidR="003029C4" w:rsidRPr="003029C4">
        <w:rPr>
          <w:rFonts w:cs="Times New Roman"/>
        </w:rPr>
        <w:t xml:space="preserve">criteria </w:t>
      </w:r>
      <w:r w:rsidR="002D650C">
        <w:rPr>
          <w:rFonts w:cs="Times New Roman"/>
        </w:rPr>
        <w:t>as the science and understanding of fish movement is better understood</w:t>
      </w:r>
      <w:r w:rsidR="003029C4" w:rsidRPr="003029C4">
        <w:rPr>
          <w:rFonts w:cs="Times New Roman"/>
        </w:rPr>
        <w:t>.</w:t>
      </w:r>
    </w:p>
    <w:p w14:paraId="17BDB2B7" w14:textId="7306502B" w:rsidR="001D3C6B" w:rsidRPr="001D3C6B" w:rsidRDefault="008B44C4" w:rsidP="00716476">
      <w:pPr>
        <w:pStyle w:val="mainbodytext"/>
      </w:pPr>
      <w:bookmarkStart w:id="14" w:name="_Hlk99453965"/>
      <w:r>
        <w:rPr>
          <w:b/>
          <w:bCs/>
        </w:rPr>
        <w:t xml:space="preserve">Key </w:t>
      </w:r>
      <w:r w:rsidR="000D10E8">
        <w:rPr>
          <w:b/>
          <w:bCs/>
        </w:rPr>
        <w:t>C</w:t>
      </w:r>
      <w:r w:rsidR="003029C4">
        <w:rPr>
          <w:b/>
          <w:bCs/>
        </w:rPr>
        <w:t>oncern</w:t>
      </w:r>
      <w:r w:rsidR="001D3C6B" w:rsidRPr="001D3C6B">
        <w:rPr>
          <w:b/>
          <w:bCs/>
        </w:rPr>
        <w:t>:</w:t>
      </w:r>
      <w:r w:rsidR="001D3C6B" w:rsidRPr="001D3C6B">
        <w:t xml:space="preserve"> Need to address pulses as a mechanism to initiate/attract adult salmon and sturgeon up stream.</w:t>
      </w:r>
    </w:p>
    <w:bookmarkEnd w:id="14"/>
    <w:p w14:paraId="530A6B2E" w14:textId="736879AC" w:rsidR="002A456C" w:rsidRDefault="001D3C6B" w:rsidP="00716476">
      <w:pPr>
        <w:pStyle w:val="mainbodytext"/>
        <w:rPr>
          <w:rFonts w:cs="Times New Roman"/>
        </w:rPr>
      </w:pPr>
      <w:r w:rsidRPr="001D3C6B">
        <w:rPr>
          <w:b/>
          <w:bCs/>
        </w:rPr>
        <w:t xml:space="preserve">Response: </w:t>
      </w:r>
      <w:r w:rsidRPr="00E25DCE">
        <w:rPr>
          <w:rFonts w:cs="Times New Roman"/>
        </w:rPr>
        <w:t>As presented in the RDEIR/SDEIS</w:t>
      </w:r>
      <w:r w:rsidR="0003287D" w:rsidRPr="00E25DCE">
        <w:rPr>
          <w:rFonts w:cs="Times New Roman"/>
        </w:rPr>
        <w:t>,</w:t>
      </w:r>
      <w:r w:rsidR="00E7693E" w:rsidRPr="00E25DCE">
        <w:rPr>
          <w:rFonts w:cs="Times New Roman"/>
        </w:rPr>
        <w:t xml:space="preserve"> </w:t>
      </w:r>
      <w:r w:rsidRPr="00E25DCE">
        <w:rPr>
          <w:rFonts w:cs="Times New Roman"/>
        </w:rPr>
        <w:t xml:space="preserve">the Project is not expected to impede the upstream migration of adult salmon or sturgeon. </w:t>
      </w:r>
      <w:r w:rsidR="00666B14" w:rsidRPr="001D3C6B">
        <w:t xml:space="preserve">The proposed pulse flow criteria ensure pulses are protected and propagate downstream. </w:t>
      </w:r>
      <w:r w:rsidRPr="00E25DCE">
        <w:rPr>
          <w:rFonts w:cs="Times New Roman"/>
        </w:rPr>
        <w:t xml:space="preserve">In addition, the revised </w:t>
      </w:r>
      <w:r w:rsidR="00174919">
        <w:rPr>
          <w:rFonts w:cs="Times New Roman"/>
          <w:szCs w:val="24"/>
        </w:rPr>
        <w:t>minimum bypass flow requirement at</w:t>
      </w:r>
      <w:r>
        <w:rPr>
          <w:rFonts w:cs="Times New Roman"/>
          <w:szCs w:val="24"/>
        </w:rPr>
        <w:t xml:space="preserve"> </w:t>
      </w:r>
      <w:r w:rsidRPr="00E25DCE">
        <w:rPr>
          <w:rFonts w:cs="Times New Roman"/>
        </w:rPr>
        <w:t>Wilkins Slough ensure</w:t>
      </w:r>
      <w:r w:rsidR="003A672D">
        <w:rPr>
          <w:rFonts w:cs="Times New Roman"/>
        </w:rPr>
        <w:t>s</w:t>
      </w:r>
      <w:r w:rsidRPr="00E25DCE">
        <w:rPr>
          <w:rFonts w:cs="Times New Roman"/>
        </w:rPr>
        <w:t xml:space="preserve"> that Project operations do not diminish flow</w:t>
      </w:r>
      <w:r w:rsidR="0061526B" w:rsidRPr="00E25DCE">
        <w:rPr>
          <w:rFonts w:cs="Times New Roman"/>
        </w:rPr>
        <w:t>s</w:t>
      </w:r>
      <w:r w:rsidRPr="00E25DCE">
        <w:rPr>
          <w:rFonts w:cs="Times New Roman"/>
        </w:rPr>
        <w:t xml:space="preserve"> below levels which</w:t>
      </w:r>
      <w:r w:rsidR="003029C4">
        <w:rPr>
          <w:rFonts w:cs="Times New Roman"/>
        </w:rPr>
        <w:t xml:space="preserve"> may</w:t>
      </w:r>
      <w:r w:rsidRPr="00E25DCE">
        <w:rPr>
          <w:rFonts w:cs="Times New Roman"/>
        </w:rPr>
        <w:t xml:space="preserve"> interrupt or delay the upstream migration of sturgeon. </w:t>
      </w:r>
    </w:p>
    <w:p w14:paraId="6D6B9A25" w14:textId="543E65B9" w:rsidR="001D3C6B" w:rsidRPr="001D3C6B" w:rsidRDefault="008B44C4" w:rsidP="00716476">
      <w:pPr>
        <w:pStyle w:val="mainbodytext"/>
      </w:pPr>
      <w:bookmarkStart w:id="15" w:name="_Hlk99453970"/>
      <w:r>
        <w:rPr>
          <w:b/>
          <w:bCs/>
        </w:rPr>
        <w:t xml:space="preserve">Key </w:t>
      </w:r>
      <w:r w:rsidR="000D10E8">
        <w:rPr>
          <w:b/>
          <w:bCs/>
        </w:rPr>
        <w:t>Concern</w:t>
      </w:r>
      <w:r w:rsidR="001D3C6B" w:rsidRPr="001D3C6B">
        <w:t xml:space="preserve">: Provide a better explanation of effects and benefits of fall pulse flows into Yolo </w:t>
      </w:r>
      <w:r w:rsidR="003417CE">
        <w:t>B</w:t>
      </w:r>
      <w:r w:rsidR="001D3C6B" w:rsidRPr="001D3C6B">
        <w:t>ypass for plankton production and discussion of consequences of reduced flow into the bypass due to reduction in flows attributable to diversions at T</w:t>
      </w:r>
      <w:r w:rsidR="003417CE">
        <w:t>C</w:t>
      </w:r>
      <w:r w:rsidR="001D3C6B" w:rsidRPr="001D3C6B">
        <w:t xml:space="preserve">CA and GCID diversions. </w:t>
      </w:r>
    </w:p>
    <w:bookmarkEnd w:id="15"/>
    <w:p w14:paraId="540574BA" w14:textId="0C79439B" w:rsidR="001D3C6B" w:rsidRPr="001D3C6B" w:rsidRDefault="001D3C6B" w:rsidP="00716476">
      <w:pPr>
        <w:pStyle w:val="mainbodytext"/>
      </w:pPr>
      <w:r w:rsidRPr="001D3C6B">
        <w:rPr>
          <w:b/>
          <w:bCs/>
        </w:rPr>
        <w:t xml:space="preserve">Response: </w:t>
      </w:r>
      <w:r w:rsidRPr="001D3C6B">
        <w:t xml:space="preserve">An analysis of the expected timing and benefit of the Yolo Bypass flow measure to stimulate food production and convey forage species to the north Delta for the benefit of </w:t>
      </w:r>
      <w:r w:rsidR="00045C90">
        <w:t>d</w:t>
      </w:r>
      <w:r w:rsidRPr="001D3C6B">
        <w:t xml:space="preserve">elta </w:t>
      </w:r>
      <w:r w:rsidRPr="00E25DCE">
        <w:rPr>
          <w:rFonts w:cs="Times New Roman"/>
          <w:szCs w:val="24"/>
        </w:rPr>
        <w:t>smelt</w:t>
      </w:r>
      <w:r w:rsidR="00045C90" w:rsidRPr="00E25DCE">
        <w:rPr>
          <w:rFonts w:cs="Times New Roman"/>
          <w:szCs w:val="24"/>
        </w:rPr>
        <w:t xml:space="preserve"> (</w:t>
      </w:r>
      <w:proofErr w:type="spellStart"/>
      <w:r w:rsidR="00045C90" w:rsidRPr="00E25DCE">
        <w:rPr>
          <w:rFonts w:cs="Times New Roman"/>
          <w:i/>
          <w:iCs/>
          <w:szCs w:val="24"/>
        </w:rPr>
        <w:t>Hypomesus</w:t>
      </w:r>
      <w:proofErr w:type="spellEnd"/>
      <w:r w:rsidR="00045C90" w:rsidRPr="00E25DCE">
        <w:rPr>
          <w:rFonts w:cs="Times New Roman"/>
          <w:i/>
          <w:iCs/>
          <w:szCs w:val="24"/>
        </w:rPr>
        <w:t xml:space="preserve"> </w:t>
      </w:r>
      <w:proofErr w:type="spellStart"/>
      <w:r w:rsidR="00045C90" w:rsidRPr="00E25DCE">
        <w:rPr>
          <w:rFonts w:cs="Times New Roman"/>
          <w:i/>
          <w:iCs/>
          <w:szCs w:val="24"/>
        </w:rPr>
        <w:t>transpacificus</w:t>
      </w:r>
      <w:proofErr w:type="spellEnd"/>
      <w:r w:rsidR="00045C90" w:rsidRPr="00E25DCE">
        <w:rPr>
          <w:rFonts w:cs="Times New Roman"/>
          <w:szCs w:val="24"/>
        </w:rPr>
        <w:t>)</w:t>
      </w:r>
      <w:r w:rsidRPr="00E25DCE">
        <w:rPr>
          <w:rFonts w:cs="Times New Roman"/>
          <w:szCs w:val="24"/>
        </w:rPr>
        <w:t xml:space="preserve"> and other planktivorous fish is presented in Chapter 11</w:t>
      </w:r>
      <w:r w:rsidR="000D10E8">
        <w:rPr>
          <w:rFonts w:cs="Times New Roman"/>
          <w:szCs w:val="24"/>
        </w:rPr>
        <w:t xml:space="preserve"> -</w:t>
      </w:r>
      <w:r w:rsidR="000D10E8" w:rsidRPr="00E25DCE">
        <w:rPr>
          <w:rFonts w:cs="Times New Roman"/>
          <w:szCs w:val="24"/>
        </w:rPr>
        <w:t xml:space="preserve"> </w:t>
      </w:r>
      <w:r w:rsidR="003417CE" w:rsidRPr="00E25DCE">
        <w:rPr>
          <w:rFonts w:cs="Times New Roman"/>
          <w:i/>
          <w:iCs/>
          <w:szCs w:val="24"/>
        </w:rPr>
        <w:t>Aquatic Biological Resources</w:t>
      </w:r>
      <w:r w:rsidR="003417CE" w:rsidRPr="00E25DCE">
        <w:rPr>
          <w:rFonts w:cs="Times New Roman"/>
          <w:szCs w:val="24"/>
        </w:rPr>
        <w:t>,</w:t>
      </w:r>
      <w:r w:rsidRPr="00E25DCE">
        <w:rPr>
          <w:rFonts w:cs="Times New Roman"/>
          <w:szCs w:val="24"/>
        </w:rPr>
        <w:t xml:space="preserve"> of </w:t>
      </w:r>
      <w:r w:rsidR="003417CE" w:rsidRPr="00E25DCE">
        <w:rPr>
          <w:rFonts w:cs="Times New Roman"/>
          <w:szCs w:val="24"/>
        </w:rPr>
        <w:t xml:space="preserve">the </w:t>
      </w:r>
      <w:r w:rsidRPr="00E25DCE">
        <w:rPr>
          <w:rFonts w:cs="Times New Roman"/>
          <w:szCs w:val="24"/>
        </w:rPr>
        <w:t xml:space="preserve">RDEIR/SDEIS. The benefit of this measure has been acknowledged by CDFW in the review of </w:t>
      </w:r>
      <w:r w:rsidR="003417CE" w:rsidRPr="00E25DCE">
        <w:rPr>
          <w:rFonts w:cs="Times New Roman"/>
          <w:szCs w:val="24"/>
        </w:rPr>
        <w:t>the P</w:t>
      </w:r>
      <w:r w:rsidRPr="00E25DCE">
        <w:rPr>
          <w:rFonts w:cs="Times New Roman"/>
          <w:szCs w:val="24"/>
        </w:rPr>
        <w:t>roject during the C</w:t>
      </w:r>
      <w:r w:rsidR="00CA39E0" w:rsidRPr="00E25DCE">
        <w:rPr>
          <w:rFonts w:cs="Times New Roman"/>
          <w:szCs w:val="24"/>
        </w:rPr>
        <w:t>alifornia Water Commission</w:t>
      </w:r>
      <w:r w:rsidRPr="00E25DCE">
        <w:rPr>
          <w:rFonts w:cs="Times New Roman"/>
          <w:szCs w:val="24"/>
        </w:rPr>
        <w:t xml:space="preserve">’s WSIP approval process. </w:t>
      </w:r>
      <w:r w:rsidR="006F51C2">
        <w:rPr>
          <w:rFonts w:cs="Times New Roman"/>
          <w:szCs w:val="24"/>
        </w:rPr>
        <w:t xml:space="preserve"> A</w:t>
      </w:r>
      <w:r w:rsidR="000D7C6F">
        <w:rPr>
          <w:rFonts w:cs="Times New Roman"/>
          <w:szCs w:val="24"/>
        </w:rPr>
        <w:t>n a</w:t>
      </w:r>
      <w:r w:rsidR="006F51C2">
        <w:rPr>
          <w:rFonts w:cs="Times New Roman"/>
          <w:szCs w:val="24"/>
        </w:rPr>
        <w:t xml:space="preserve">nalysis of the consequences of reduced flow into the Yolo Bypass due to reduction in flows attributable to diversions at TCCA and GCID diversions is provided in the section, </w:t>
      </w:r>
      <w:r w:rsidR="006F51C2" w:rsidRPr="005F7294">
        <w:rPr>
          <w:rFonts w:cs="Times New Roman"/>
          <w:i/>
          <w:iCs/>
          <w:szCs w:val="24"/>
        </w:rPr>
        <w:t>Impact FISH-2:</w:t>
      </w:r>
      <w:r w:rsidR="006F51C2" w:rsidRPr="005F7294">
        <w:rPr>
          <w:i/>
          <w:iCs/>
        </w:rPr>
        <w:t xml:space="preserve"> Operations Effects on Winter-Run Chinook Salmon,</w:t>
      </w:r>
      <w:r w:rsidR="006F51C2" w:rsidRPr="00E25DCE">
        <w:rPr>
          <w:rFonts w:cs="Times New Roman"/>
          <w:szCs w:val="24"/>
        </w:rPr>
        <w:t xml:space="preserve"> </w:t>
      </w:r>
      <w:r w:rsidR="006F51C2" w:rsidRPr="00880AD0">
        <w:rPr>
          <w:rFonts w:cs="Times New Roman"/>
          <w:i/>
          <w:iCs/>
          <w:szCs w:val="24"/>
        </w:rPr>
        <w:t>Floodplain Inundation and Access</w:t>
      </w:r>
      <w:r w:rsidR="006F51C2">
        <w:rPr>
          <w:rFonts w:cs="Times New Roman"/>
          <w:i/>
          <w:iCs/>
          <w:szCs w:val="24"/>
        </w:rPr>
        <w:t>,</w:t>
      </w:r>
      <w:r w:rsidR="006F51C2" w:rsidRPr="00E25DCE">
        <w:rPr>
          <w:rFonts w:cs="Times New Roman"/>
          <w:szCs w:val="24"/>
        </w:rPr>
        <w:t xml:space="preserve"> in Chapter 11</w:t>
      </w:r>
      <w:r w:rsidR="006F51C2">
        <w:rPr>
          <w:rFonts w:cs="Times New Roman"/>
          <w:szCs w:val="24"/>
        </w:rPr>
        <w:t xml:space="preserve"> -</w:t>
      </w:r>
      <w:r w:rsidR="006F51C2" w:rsidRPr="00E25DCE">
        <w:rPr>
          <w:rFonts w:cs="Times New Roman"/>
          <w:szCs w:val="24"/>
        </w:rPr>
        <w:t xml:space="preserve"> </w:t>
      </w:r>
      <w:r w:rsidR="006F51C2" w:rsidRPr="00E25DCE">
        <w:rPr>
          <w:rFonts w:cs="Times New Roman"/>
          <w:i/>
          <w:iCs/>
          <w:szCs w:val="24"/>
        </w:rPr>
        <w:t>Aquatic Biological Resources</w:t>
      </w:r>
      <w:r w:rsidR="006F51C2" w:rsidRPr="00E25DCE">
        <w:rPr>
          <w:rFonts w:cs="Times New Roman"/>
          <w:szCs w:val="24"/>
        </w:rPr>
        <w:t>, of the RDEIR/SDEIS</w:t>
      </w:r>
      <w:r w:rsidR="006F51C2">
        <w:rPr>
          <w:rFonts w:cs="Times New Roman"/>
          <w:szCs w:val="24"/>
        </w:rPr>
        <w:t>,</w:t>
      </w:r>
      <w:r w:rsidR="006F51C2">
        <w:t xml:space="preserve"> as well as in Appendix 11M. The analysis concludes that Sites diversions result in minor reductions in Yolo Bypass acreages inundated</w:t>
      </w:r>
      <w:r w:rsidR="006F51C2">
        <w:rPr>
          <w:rFonts w:cs="Times New Roman"/>
          <w:szCs w:val="24"/>
        </w:rPr>
        <w:t xml:space="preserve"> during the winter and spring, but that</w:t>
      </w:r>
      <w:r w:rsidR="006F51C2">
        <w:rPr>
          <w:rFonts w:eastAsia="Calibri"/>
          <w:szCs w:val="24"/>
        </w:rPr>
        <w:t xml:space="preserve"> when </w:t>
      </w:r>
      <w:bookmarkStart w:id="16" w:name="_Hlk74813258"/>
      <w:r w:rsidR="006F51C2">
        <w:rPr>
          <w:rFonts w:eastAsia="Calibri"/>
          <w:szCs w:val="24"/>
        </w:rPr>
        <w:t xml:space="preserve">the net effect </w:t>
      </w:r>
      <w:r w:rsidR="006F51C2">
        <w:rPr>
          <w:rFonts w:eastAsia="Calibri"/>
          <w:szCs w:val="24"/>
        </w:rPr>
        <w:lastRenderedPageBreak/>
        <w:t xml:space="preserve">of all differences between the NAA and Alternatives 1, 2, and 3 are examined, the differences are small </w:t>
      </w:r>
      <w:bookmarkEnd w:id="16"/>
      <w:r w:rsidR="006F51C2">
        <w:rPr>
          <w:rFonts w:eastAsia="Calibri"/>
          <w:szCs w:val="24"/>
        </w:rPr>
        <w:t>and the effect on fish populations is expected to be minor.</w:t>
      </w:r>
    </w:p>
    <w:p w14:paraId="705BE400" w14:textId="45E5AD6A" w:rsidR="001D3C6B" w:rsidRPr="001D3C6B" w:rsidRDefault="008B44C4" w:rsidP="00716476">
      <w:pPr>
        <w:pStyle w:val="mainbodytext"/>
      </w:pPr>
      <w:bookmarkStart w:id="17" w:name="_Hlk99453982"/>
      <w:r>
        <w:rPr>
          <w:b/>
          <w:bCs/>
        </w:rPr>
        <w:t xml:space="preserve">Key </w:t>
      </w:r>
      <w:r w:rsidR="000D10E8">
        <w:rPr>
          <w:b/>
          <w:bCs/>
        </w:rPr>
        <w:t>Concern</w:t>
      </w:r>
      <w:r w:rsidR="001D3C6B" w:rsidRPr="001D3C6B">
        <w:rPr>
          <w:b/>
          <w:bCs/>
        </w:rPr>
        <w:t xml:space="preserve">: </w:t>
      </w:r>
      <w:r w:rsidR="001D3C6B" w:rsidRPr="001D3C6B">
        <w:t xml:space="preserve">Address expected increase in loss of fish at South Delta export facilities associated with July </w:t>
      </w:r>
      <w:r w:rsidR="00E31EF4">
        <w:t>through</w:t>
      </w:r>
      <w:r w:rsidR="00E31EF4" w:rsidRPr="001D3C6B">
        <w:t xml:space="preserve"> </w:t>
      </w:r>
      <w:r w:rsidR="001D3C6B" w:rsidRPr="001D3C6B">
        <w:t xml:space="preserve">September increases in Delta exports. </w:t>
      </w:r>
    </w:p>
    <w:bookmarkEnd w:id="17"/>
    <w:p w14:paraId="1046CB70" w14:textId="34E8FCC4" w:rsidR="001D3C6B" w:rsidRPr="001D3C6B" w:rsidRDefault="001D3C6B" w:rsidP="00716476">
      <w:pPr>
        <w:pStyle w:val="mainbodytext"/>
      </w:pPr>
      <w:r w:rsidRPr="001D3C6B">
        <w:rPr>
          <w:b/>
          <w:bCs/>
        </w:rPr>
        <w:t xml:space="preserve">Response: </w:t>
      </w:r>
      <w:r w:rsidRPr="001D3C6B">
        <w:t xml:space="preserve">The effect of moving Sites </w:t>
      </w:r>
      <w:r w:rsidR="00A33D24">
        <w:t>Reservoir</w:t>
      </w:r>
      <w:r w:rsidRPr="001D3C6B">
        <w:t xml:space="preserve"> water across the Delta to the Delta export facilities on the location of X2, flows in Old and Middle River, and expected loss at the export facilities are addressed in Chapter 11</w:t>
      </w:r>
      <w:r w:rsidR="000D10E8">
        <w:t xml:space="preserve"> - </w:t>
      </w:r>
      <w:r w:rsidR="003417CE" w:rsidRPr="000D10E8">
        <w:rPr>
          <w:i/>
          <w:iCs/>
        </w:rPr>
        <w:t>Aquatic Biological Resources</w:t>
      </w:r>
      <w:r w:rsidR="003417CE" w:rsidRPr="000D10E8">
        <w:t>,</w:t>
      </w:r>
      <w:r w:rsidRPr="000D10E8">
        <w:t xml:space="preserve"> and Appendix 5B3</w:t>
      </w:r>
      <w:r w:rsidR="003417CE" w:rsidRPr="000D10E8">
        <w:t xml:space="preserve">, </w:t>
      </w:r>
      <w:r w:rsidR="003417CE" w:rsidRPr="000D10E8">
        <w:rPr>
          <w:i/>
          <w:iCs/>
        </w:rPr>
        <w:t>Delta Operations</w:t>
      </w:r>
      <w:r w:rsidR="003417CE" w:rsidRPr="000D10E8">
        <w:t>,</w:t>
      </w:r>
      <w:r w:rsidR="003417CE">
        <w:t xml:space="preserve"> of the RDEIR/SDEIS</w:t>
      </w:r>
      <w:r w:rsidRPr="001D3C6B">
        <w:t xml:space="preserve">. The results of these analyses suggest there would be little difference in south Delta </w:t>
      </w:r>
      <w:r w:rsidR="00534BD5">
        <w:t>loss</w:t>
      </w:r>
      <w:r w:rsidRPr="001D3C6B">
        <w:t xml:space="preserve"> between the NAA and Alternatives 1, 2, and 3</w:t>
      </w:r>
      <w:r w:rsidR="00534BD5">
        <w:t xml:space="preserve">, primarily due to absence of </w:t>
      </w:r>
      <w:r w:rsidR="00567F1E">
        <w:t xml:space="preserve">juvenile ESA-listed </w:t>
      </w:r>
      <w:r w:rsidR="00534BD5">
        <w:t>fish in the Delta between July and September</w:t>
      </w:r>
      <w:r w:rsidRPr="001D3C6B">
        <w:t xml:space="preserve">. </w:t>
      </w:r>
    </w:p>
    <w:p w14:paraId="58BEE83C" w14:textId="43E27554" w:rsidR="001D3C6B" w:rsidRPr="001D3C6B" w:rsidRDefault="008B44C4" w:rsidP="00716476">
      <w:pPr>
        <w:pStyle w:val="mainbodytext"/>
      </w:pPr>
      <w:bookmarkStart w:id="18" w:name="_Hlk96952631"/>
      <w:bookmarkStart w:id="19" w:name="_Hlk99454037"/>
      <w:r w:rsidRPr="00977C0D">
        <w:rPr>
          <w:b/>
          <w:bCs/>
        </w:rPr>
        <w:t xml:space="preserve">Key </w:t>
      </w:r>
      <w:r w:rsidR="000D10E8" w:rsidRPr="00977C0D">
        <w:rPr>
          <w:b/>
          <w:bCs/>
        </w:rPr>
        <w:t>Concern</w:t>
      </w:r>
      <w:r w:rsidR="001D3C6B" w:rsidRPr="00977C0D">
        <w:rPr>
          <w:b/>
          <w:bCs/>
        </w:rPr>
        <w:t>:</w:t>
      </w:r>
      <w:r w:rsidR="001D3C6B" w:rsidRPr="001D3C6B">
        <w:t xml:space="preserve"> More thorough analysis may be needed of the effects of exchanges on spawning and rearing habitat in the American and Feather </w:t>
      </w:r>
      <w:r w:rsidR="001B142C">
        <w:t>R</w:t>
      </w:r>
      <w:r w:rsidR="001D3C6B" w:rsidRPr="001D3C6B">
        <w:t>ivers</w:t>
      </w:r>
      <w:bookmarkEnd w:id="18"/>
      <w:r w:rsidR="001D3C6B" w:rsidRPr="001D3C6B">
        <w:t>.</w:t>
      </w:r>
    </w:p>
    <w:bookmarkEnd w:id="19"/>
    <w:p w14:paraId="2EE02CAD" w14:textId="288C0DFA" w:rsidR="001D3C6B" w:rsidRPr="001D3C6B" w:rsidRDefault="001D3C6B" w:rsidP="00716476">
      <w:pPr>
        <w:pStyle w:val="mainbodytext"/>
      </w:pPr>
      <w:r w:rsidRPr="001D3C6B">
        <w:rPr>
          <w:b/>
          <w:bCs/>
        </w:rPr>
        <w:t xml:space="preserve">Response: </w:t>
      </w:r>
      <w:r w:rsidRPr="001D3C6B">
        <w:t xml:space="preserve">The effects of </w:t>
      </w:r>
      <w:r w:rsidR="00081D7E">
        <w:t>P</w:t>
      </w:r>
      <w:r w:rsidRPr="001D3C6B">
        <w:t>roject operations on temperature</w:t>
      </w:r>
      <w:r w:rsidR="005B5976">
        <w:t>s</w:t>
      </w:r>
      <w:r w:rsidRPr="001D3C6B">
        <w:t xml:space="preserve"> in the American and Feather Rivers are discussed </w:t>
      </w:r>
      <w:r w:rsidR="00081D7E">
        <w:t xml:space="preserve">in </w:t>
      </w:r>
      <w:r w:rsidRPr="001D3C6B">
        <w:t>Chapter 11</w:t>
      </w:r>
      <w:r w:rsidR="000C6087">
        <w:t xml:space="preserve">, </w:t>
      </w:r>
      <w:r w:rsidR="000C6087" w:rsidRPr="00104290">
        <w:rPr>
          <w:i/>
          <w:iCs/>
        </w:rPr>
        <w:t>Aquatic Biological Resources</w:t>
      </w:r>
      <w:r w:rsidR="00924544">
        <w:t>;</w:t>
      </w:r>
      <w:r w:rsidRPr="001D3C6B">
        <w:t xml:space="preserve"> Appendi</w:t>
      </w:r>
      <w:r w:rsidR="00924544">
        <w:t>x</w:t>
      </w:r>
      <w:r w:rsidRPr="001D3C6B">
        <w:t xml:space="preserve"> 11B</w:t>
      </w:r>
      <w:r w:rsidR="00924544">
        <w:t xml:space="preserve">, </w:t>
      </w:r>
      <w:r w:rsidR="00924544" w:rsidRPr="00924544">
        <w:rPr>
          <w:i/>
          <w:iCs/>
        </w:rPr>
        <w:t>Upstream Fisheries Impact Assessment Quantitative Methods</w:t>
      </w:r>
      <w:r w:rsidR="00924544">
        <w:t>;</w:t>
      </w:r>
      <w:r w:rsidRPr="001D3C6B">
        <w:t xml:space="preserve"> and </w:t>
      </w:r>
      <w:r w:rsidR="00924544">
        <w:t xml:space="preserve">Appendix </w:t>
      </w:r>
      <w:r w:rsidRPr="001D3C6B">
        <w:t>11D</w:t>
      </w:r>
      <w:r w:rsidR="00924544">
        <w:t xml:space="preserve">, </w:t>
      </w:r>
      <w:r w:rsidR="00924544" w:rsidRPr="00924544">
        <w:rPr>
          <w:i/>
          <w:iCs/>
        </w:rPr>
        <w:t>Fisheries Water Temperature Assessment</w:t>
      </w:r>
      <w:r w:rsidR="00924544">
        <w:t>,</w:t>
      </w:r>
      <w:r w:rsidR="000C6087">
        <w:t xml:space="preserve"> of the RDEIR/SDEIS</w:t>
      </w:r>
      <w:r w:rsidRPr="001D3C6B">
        <w:t>. The results indicate</w:t>
      </w:r>
      <w:r w:rsidR="005B5976">
        <w:t xml:space="preserve"> impacts from</w:t>
      </w:r>
      <w:r w:rsidRPr="001D3C6B">
        <w:t xml:space="preserve"> changes in temperatures are less than significant. The effect</w:t>
      </w:r>
      <w:r w:rsidR="005B5976">
        <w:t>s</w:t>
      </w:r>
      <w:r w:rsidRPr="001D3C6B">
        <w:t xml:space="preserve"> of </w:t>
      </w:r>
      <w:r w:rsidR="00081D7E">
        <w:t>P</w:t>
      </w:r>
      <w:r w:rsidRPr="001D3C6B">
        <w:t>roject operation</w:t>
      </w:r>
      <w:r w:rsidR="005B5976">
        <w:t>s</w:t>
      </w:r>
      <w:r w:rsidRPr="001D3C6B">
        <w:t xml:space="preserve"> </w:t>
      </w:r>
      <w:r w:rsidR="00081D7E">
        <w:t>on</w:t>
      </w:r>
      <w:r w:rsidRPr="001D3C6B">
        <w:t xml:space="preserve"> availability of </w:t>
      </w:r>
      <w:r w:rsidR="00081D7E">
        <w:t xml:space="preserve">spawning and rearing </w:t>
      </w:r>
      <w:r w:rsidRPr="001D3C6B">
        <w:t>habitat in the American and Feather Rivers are also analyzed in Chapter 11 and Appendix 11K</w:t>
      </w:r>
      <w:r w:rsidR="00924544">
        <w:t xml:space="preserve">, </w:t>
      </w:r>
      <w:r w:rsidR="00924544" w:rsidRPr="00924544">
        <w:rPr>
          <w:i/>
          <w:iCs/>
        </w:rPr>
        <w:t>Weighted Usable Area Analysis</w:t>
      </w:r>
      <w:r w:rsidR="00081D7E" w:rsidRPr="00A33D24">
        <w:t>, of the RDEIR/SDEIS</w:t>
      </w:r>
      <w:r w:rsidRPr="00081D7E">
        <w:t>.</w:t>
      </w:r>
      <w:r w:rsidRPr="001D3C6B">
        <w:t xml:space="preserve"> The analysis suggests no significant differences between </w:t>
      </w:r>
      <w:r w:rsidR="005B5976">
        <w:t>A</w:t>
      </w:r>
      <w:r w:rsidRPr="001D3C6B">
        <w:t>lternatives</w:t>
      </w:r>
      <w:r w:rsidR="005B5976">
        <w:t xml:space="preserve"> 1, 2, and 3</w:t>
      </w:r>
      <w:r w:rsidRPr="001D3C6B">
        <w:t xml:space="preserve"> and the NAA with respect to </w:t>
      </w:r>
      <w:r w:rsidR="00081D7E">
        <w:t>WUA</w:t>
      </w:r>
      <w:r w:rsidRPr="001D3C6B">
        <w:t xml:space="preserve">. An analysis of the potential redd dewatering in the American </w:t>
      </w:r>
      <w:r w:rsidR="00924544">
        <w:t xml:space="preserve">and Feather </w:t>
      </w:r>
      <w:r w:rsidRPr="001D3C6B">
        <w:t>Rivers was also conducted and discussed in Chapter 11. The results of that analysis suggest</w:t>
      </w:r>
      <w:r w:rsidR="00924544">
        <w:t>ed</w:t>
      </w:r>
      <w:r w:rsidRPr="001D3C6B">
        <w:t xml:space="preserve"> no significant differences among the alternatives </w:t>
      </w:r>
      <w:r w:rsidR="009B6A63">
        <w:t>and the NAA.</w:t>
      </w:r>
      <w:r w:rsidR="000A2578">
        <w:t xml:space="preserve"> </w:t>
      </w:r>
    </w:p>
    <w:p w14:paraId="691EAB62" w14:textId="62890DD1" w:rsidR="001D3C6B" w:rsidRPr="001D3C6B" w:rsidRDefault="001D3C6B" w:rsidP="00716476">
      <w:pPr>
        <w:pStyle w:val="mainbodytext"/>
      </w:pPr>
      <w:r w:rsidRPr="001D3C6B">
        <w:t xml:space="preserve">These analyses will be revised to reflect the </w:t>
      </w:r>
      <w:r w:rsidR="000A2578">
        <w:t xml:space="preserve">revised diversion criteria and enhanced </w:t>
      </w:r>
      <w:r w:rsidR="00B6028C">
        <w:t xml:space="preserve">anadromous fish benefits </w:t>
      </w:r>
      <w:r w:rsidR="00F50EFF">
        <w:t>in revised</w:t>
      </w:r>
      <w:r w:rsidR="000A2578" w:rsidRPr="001D3C6B">
        <w:t xml:space="preserve"> </w:t>
      </w:r>
      <w:proofErr w:type="gramStart"/>
      <w:r w:rsidRPr="001D3C6B">
        <w:t>CALSIM</w:t>
      </w:r>
      <w:proofErr w:type="gramEnd"/>
      <w:r w:rsidRPr="001D3C6B">
        <w:t xml:space="preserve"> </w:t>
      </w:r>
      <w:r w:rsidR="00895131">
        <w:t xml:space="preserve">and other model </w:t>
      </w:r>
      <w:r w:rsidRPr="001D3C6B">
        <w:t>runs</w:t>
      </w:r>
      <w:r w:rsidR="0010582A">
        <w:t>. Once the updated modeling is comp</w:t>
      </w:r>
      <w:r w:rsidR="00061BC1">
        <w:t>l</w:t>
      </w:r>
      <w:r w:rsidR="0010582A">
        <w:t>eted</w:t>
      </w:r>
      <w:r w:rsidRPr="001D3C6B">
        <w:t xml:space="preserve">, the Authority will be available to present and discuss those results with </w:t>
      </w:r>
      <w:r w:rsidR="00F43751">
        <w:t>Reclamation</w:t>
      </w:r>
      <w:r w:rsidRPr="001D3C6B">
        <w:t xml:space="preserve">, USFWS, </w:t>
      </w:r>
      <w:r w:rsidR="007262D5">
        <w:t xml:space="preserve">NMFS, CDFW </w:t>
      </w:r>
      <w:r w:rsidRPr="001D3C6B">
        <w:t xml:space="preserve">and the other regulatory agencies. </w:t>
      </w:r>
    </w:p>
    <w:p w14:paraId="6C88D30A" w14:textId="674A0CB7" w:rsidR="00584578" w:rsidRPr="00584578" w:rsidRDefault="003E0937" w:rsidP="008E22BD">
      <w:pPr>
        <w:pStyle w:val="Heading1"/>
        <w:keepNext/>
      </w:pPr>
      <w:r>
        <w:t xml:space="preserve">Cumulative </w:t>
      </w:r>
      <w:r w:rsidR="00F43751">
        <w:t>Impacts</w:t>
      </w:r>
      <w:r>
        <w:t xml:space="preserve"> with Other Projects</w:t>
      </w:r>
    </w:p>
    <w:p w14:paraId="154F2C3F" w14:textId="07B26E2E" w:rsidR="003E0937" w:rsidRDefault="008B44C4" w:rsidP="00716476">
      <w:pPr>
        <w:pStyle w:val="mainbodytext"/>
      </w:pPr>
      <w:r>
        <w:rPr>
          <w:b/>
          <w:bCs/>
        </w:rPr>
        <w:t xml:space="preserve">Key </w:t>
      </w:r>
      <w:r w:rsidR="000D10E8">
        <w:rPr>
          <w:b/>
          <w:bCs/>
        </w:rPr>
        <w:t>Concern</w:t>
      </w:r>
      <w:r w:rsidR="003E0937" w:rsidRPr="2465516A">
        <w:t xml:space="preserve">: Reclamation should consider the benefits of these other projects, how they would interact with the </w:t>
      </w:r>
      <w:r w:rsidR="00F357F2">
        <w:t>P</w:t>
      </w:r>
      <w:r w:rsidR="003E0937" w:rsidRPr="2465516A">
        <w:t xml:space="preserve">roject, and explain the sequence of construction/completion relative to the </w:t>
      </w:r>
      <w:r w:rsidR="00A2550C">
        <w:t>P</w:t>
      </w:r>
      <w:r w:rsidR="003E0937" w:rsidRPr="2465516A">
        <w:t>roject</w:t>
      </w:r>
      <w:r>
        <w:t>.</w:t>
      </w:r>
    </w:p>
    <w:p w14:paraId="19611E44" w14:textId="13C2970E" w:rsidR="003E0937" w:rsidRPr="007941E4" w:rsidRDefault="003E0937" w:rsidP="00716476">
      <w:pPr>
        <w:pStyle w:val="mainbodytext"/>
      </w:pPr>
      <w:r w:rsidRPr="54B2EEB3">
        <w:rPr>
          <w:b/>
          <w:bCs/>
        </w:rPr>
        <w:t xml:space="preserve">Response: </w:t>
      </w:r>
      <w:r w:rsidRPr="007941E4">
        <w:t xml:space="preserve">The Authority understands the interest in exploring how the Project </w:t>
      </w:r>
      <w:r w:rsidR="00090CBE">
        <w:t>may</w:t>
      </w:r>
      <w:r w:rsidRPr="007941E4">
        <w:t xml:space="preserve"> operate in conjunction with </w:t>
      </w:r>
      <w:r w:rsidR="00ED3CF7">
        <w:t xml:space="preserve">other </w:t>
      </w:r>
      <w:r w:rsidRPr="007941E4">
        <w:t>projects such as the revised Delta Conveyance Project and the Shasta Raise Project</w:t>
      </w:r>
      <w:r>
        <w:t>. However,</w:t>
      </w:r>
      <w:r w:rsidRPr="007941E4">
        <w:t xml:space="preserve"> these projects are </w:t>
      </w:r>
      <w:r w:rsidR="00D433B0">
        <w:t xml:space="preserve">presently </w:t>
      </w:r>
      <w:r w:rsidRPr="007941E4">
        <w:t xml:space="preserve">not sufficiently developed to </w:t>
      </w:r>
      <w:r w:rsidR="00D433B0">
        <w:t>assess</w:t>
      </w:r>
      <w:r w:rsidRPr="007941E4">
        <w:t xml:space="preserve"> how they would be </w:t>
      </w:r>
      <w:r w:rsidR="00E25DCE">
        <w:t xml:space="preserve">constructed and </w:t>
      </w:r>
      <w:r w:rsidRPr="007941E4">
        <w:t>operated</w:t>
      </w:r>
      <w:r w:rsidR="000A7DDC">
        <w:t>,</w:t>
      </w:r>
      <w:r w:rsidR="00D433B0">
        <w:t xml:space="preserve"> and </w:t>
      </w:r>
      <w:r w:rsidRPr="007941E4">
        <w:t xml:space="preserve">any analysis of cumulative effects would be speculative. </w:t>
      </w:r>
      <w:r w:rsidR="000D10E8">
        <w:t>T</w:t>
      </w:r>
      <w:r w:rsidRPr="007941E4">
        <w:t xml:space="preserve">he Authority thinks adding </w:t>
      </w:r>
      <w:r w:rsidR="000D10E8">
        <w:t>speculative results</w:t>
      </w:r>
      <w:r w:rsidR="000D10E8" w:rsidRPr="007941E4">
        <w:t xml:space="preserve"> </w:t>
      </w:r>
      <w:r w:rsidRPr="007941E4">
        <w:t>to the cumulative effects analysis could be misleading</w:t>
      </w:r>
      <w:r w:rsidR="00D433B0">
        <w:t xml:space="preserve">; </w:t>
      </w:r>
      <w:r w:rsidR="008C7CE8">
        <w:t>t</w:t>
      </w:r>
      <w:r w:rsidR="000D10E8">
        <w:t xml:space="preserve">herefore, </w:t>
      </w:r>
      <w:r>
        <w:t>it</w:t>
      </w:r>
      <w:r w:rsidRPr="007941E4">
        <w:t xml:space="preserve"> does not plan to pursue such an analysis</w:t>
      </w:r>
      <w:r>
        <w:t>.</w:t>
      </w:r>
      <w:r w:rsidR="00735C37">
        <w:t xml:space="preserve"> For additional details, refer to </w:t>
      </w:r>
      <w:r w:rsidR="008B44C4">
        <w:t>C</w:t>
      </w:r>
      <w:r w:rsidR="00735C37">
        <w:t>hapter 31</w:t>
      </w:r>
      <w:r w:rsidR="008B44C4">
        <w:t>,</w:t>
      </w:r>
      <w:r w:rsidR="00735C37">
        <w:t xml:space="preserve"> </w:t>
      </w:r>
      <w:r w:rsidR="00735C37" w:rsidRPr="00924544">
        <w:rPr>
          <w:i/>
          <w:iCs/>
        </w:rPr>
        <w:t>Cumulative Impacts</w:t>
      </w:r>
      <w:r w:rsidR="00924544">
        <w:t>, in the RDEIR/SDEIS</w:t>
      </w:r>
      <w:r w:rsidR="00735C37">
        <w:t xml:space="preserve">. </w:t>
      </w:r>
      <w:r w:rsidR="00924544">
        <w:t>C</w:t>
      </w:r>
      <w:r w:rsidR="00735C37">
        <w:t>hapter 31</w:t>
      </w:r>
      <w:r w:rsidR="00924544">
        <w:t xml:space="preserve"> states</w:t>
      </w:r>
      <w:r w:rsidR="00735C37">
        <w:t xml:space="preserve"> “</w:t>
      </w:r>
      <w:r w:rsidR="00735C37" w:rsidRPr="00735C37">
        <w:t>The cumulative analysis is primarily qualitative. The cumulative analysis qualitatively addresses projects listed in Table 31-1, such as Delta Conveyance Project. For many of the projects in Table 31-1 it would be speculative to define multiple parameters and assumptions within a numerical modeling effort.”</w:t>
      </w:r>
    </w:p>
    <w:p w14:paraId="464A471C" w14:textId="48118E62" w:rsidR="00DC1109" w:rsidRDefault="003E0937" w:rsidP="00DC1109">
      <w:pPr>
        <w:pStyle w:val="Heading1"/>
      </w:pPr>
      <w:r>
        <w:t xml:space="preserve">References </w:t>
      </w:r>
    </w:p>
    <w:p w14:paraId="157B75E9" w14:textId="77525265" w:rsidR="003E08CE" w:rsidRDefault="00BE142C" w:rsidP="00F12018">
      <w:pPr>
        <w:pStyle w:val="ReferencesText"/>
      </w:pPr>
      <w:r w:rsidRPr="00BE142C">
        <w:lastRenderedPageBreak/>
        <w:t xml:space="preserve">Hassrick, J.L., A.J. Ammann, R.W. Perry, S.N. John, and M.E. Daniels, 2022. Factors affecting spatiotemporal variation in survival of endangered winter-run Chinook salmon out-migrating from the Sacramento River. N. Am. J. of Fish. Man. </w:t>
      </w:r>
      <w:hyperlink r:id="rId13" w:history="1">
        <w:r w:rsidR="003E08CE" w:rsidRPr="00D1397E">
          <w:rPr>
            <w:rStyle w:val="Hyperlink"/>
          </w:rPr>
          <w:t>https://doi.org/10.1002/NAFM.10748</w:t>
        </w:r>
      </w:hyperlink>
    </w:p>
    <w:p w14:paraId="541316E5" w14:textId="16F058C4" w:rsidR="0023102A" w:rsidRDefault="0023102A" w:rsidP="00F12018">
      <w:pPr>
        <w:pStyle w:val="ReferencesText"/>
        <w:rPr>
          <w:rStyle w:val="Hyperlink"/>
          <w:rFonts w:cs="Times New Roman"/>
          <w:color w:val="auto"/>
          <w:szCs w:val="24"/>
          <w:shd w:val="clear" w:color="auto" w:fill="FFFFFF"/>
        </w:rPr>
      </w:pPr>
      <w:r w:rsidRPr="008A6159">
        <w:t xml:space="preserve">Michel, C.J., J. Notch, F. </w:t>
      </w:r>
      <w:proofErr w:type="spellStart"/>
      <w:r w:rsidRPr="008A6159">
        <w:t>Cordoleani</w:t>
      </w:r>
      <w:proofErr w:type="spellEnd"/>
      <w:r w:rsidRPr="008A6159">
        <w:t xml:space="preserve">, A. Ammann, E. Danner. 2021.  Nonlinear survival of imperiled fish informs managed flows in a highly modified river. </w:t>
      </w:r>
      <w:r w:rsidRPr="008A6159">
        <w:rPr>
          <w:i/>
          <w:iCs/>
        </w:rPr>
        <w:t xml:space="preserve">Freshwater Ecology.  </w:t>
      </w:r>
      <w:r w:rsidRPr="008A6159">
        <w:t>Available:</w:t>
      </w:r>
      <w:r w:rsidRPr="008E22BD">
        <w:rPr>
          <w:rFonts w:cs="Times New Roman"/>
          <w:szCs w:val="24"/>
        </w:rPr>
        <w:t xml:space="preserve">  </w:t>
      </w:r>
      <w:hyperlink r:id="rId14" w:history="1">
        <w:r w:rsidRPr="008E22BD">
          <w:rPr>
            <w:rStyle w:val="Hyperlink"/>
            <w:rFonts w:cs="Times New Roman"/>
            <w:color w:val="auto"/>
            <w:szCs w:val="24"/>
            <w:shd w:val="clear" w:color="auto" w:fill="FFFFFF"/>
          </w:rPr>
          <w:t>https://doi.org/10.1002/ecs2.3498</w:t>
        </w:r>
      </w:hyperlink>
    </w:p>
    <w:p w14:paraId="1D8A0463" w14:textId="52D711BF" w:rsidR="00C275CD" w:rsidRDefault="00C275CD" w:rsidP="00F12018">
      <w:pPr>
        <w:pStyle w:val="ReferencesText"/>
        <w:rPr>
          <w:rStyle w:val="Hyperlink"/>
          <w:rFonts w:cs="Times New Roman"/>
          <w:color w:val="auto"/>
          <w:szCs w:val="24"/>
          <w:shd w:val="clear" w:color="auto" w:fill="FFFFFF"/>
        </w:rPr>
      </w:pPr>
      <w:r>
        <w:t xml:space="preserve">Poytress, W. R., J. J. Gruber, F. D. Carrillo, and S. D. Voss. 2014. </w:t>
      </w:r>
      <w:r>
        <w:rPr>
          <w:i/>
          <w:iCs/>
        </w:rPr>
        <w:t>Compendium Report of Red Bluff Diversion Dam Rotary Screw Trap Juvenile Anadromous Fish Production Indices for Years 2002–2012</w:t>
      </w:r>
      <w:r>
        <w:t>. Prepared for California Department of Fish and Wildlife Ecosystem Restoration Program and the U.S. Bureau of Reclamation. July. U.S. Fish and Wildlife Service, Red Bluff, CA.</w:t>
      </w:r>
    </w:p>
    <w:p w14:paraId="73F5BA7D" w14:textId="059BC753" w:rsidR="003029C4" w:rsidRPr="008A6159" w:rsidRDefault="003029C4" w:rsidP="00F12018">
      <w:pPr>
        <w:pStyle w:val="ReferencesText"/>
      </w:pPr>
      <w:r>
        <w:t>Schaffter, R. G. 1997. White Sturgeon spawning migrations and location of spawning habitat in the Sacramento River, California. Calif Fish Game 83(1):1-20.</w:t>
      </w:r>
    </w:p>
    <w:p w14:paraId="3C7A9512" w14:textId="77777777" w:rsidR="00EF54D0" w:rsidRPr="008A6159" w:rsidRDefault="00EF54D0" w:rsidP="00F12018">
      <w:pPr>
        <w:pStyle w:val="ReferencesText"/>
      </w:pPr>
      <w:r>
        <w:t>Sites Project Authority</w:t>
      </w:r>
      <w:r w:rsidRPr="004008FB">
        <w:t>.  December 2021.  Water Storage Investment Program: Sites Reservoir Project Continuing Eligibility and Feasibility Determination.  Available:  https://cwc.ca.gov/-/media/CWC-Website/Files/Documents/2021/12_December/</w:t>
      </w:r>
      <w:r>
        <w:br/>
      </w:r>
      <w:r w:rsidRPr="004008FB">
        <w:t>December2021_Item_10_SitesFeasibility_Final.pdf</w:t>
      </w:r>
    </w:p>
    <w:p w14:paraId="6A05729B" w14:textId="2780B0DD" w:rsidR="005B0C13" w:rsidRDefault="00D433B0" w:rsidP="00F12018">
      <w:pPr>
        <w:pStyle w:val="ReferencesText"/>
        <w:rPr>
          <w:rFonts w:cs="Times New Roman"/>
          <w:szCs w:val="24"/>
        </w:rPr>
      </w:pPr>
      <w:r>
        <w:t xml:space="preserve">Sites Project Authority and Bureau of Reclamation. 2021. </w:t>
      </w:r>
      <w:r w:rsidR="001F1C15" w:rsidRPr="008A6159">
        <w:t xml:space="preserve">Sites Reservoir Project Revised Draft Environmental Impact Report/Supplemental Draft Environmental Impact Statement (RDEIR/SDEIS).  </w:t>
      </w:r>
      <w:r w:rsidR="00BE48B7" w:rsidRPr="008A6159">
        <w:t xml:space="preserve">November.  Available:  </w:t>
      </w:r>
      <w:hyperlink r:id="rId15" w:history="1">
        <w:r w:rsidR="0033328D" w:rsidRPr="008E22BD">
          <w:rPr>
            <w:rStyle w:val="Hyperlink"/>
            <w:rFonts w:cs="Times New Roman"/>
            <w:color w:val="auto"/>
            <w:szCs w:val="24"/>
          </w:rPr>
          <w:t>https://sitesproject.org/revised-draft-environmental-impact-report-supplemental-draft-environmental-impact-statement/</w:t>
        </w:r>
      </w:hyperlink>
      <w:r w:rsidR="0033328D" w:rsidRPr="008E22BD">
        <w:rPr>
          <w:rFonts w:cs="Times New Roman"/>
          <w:szCs w:val="24"/>
        </w:rPr>
        <w:t xml:space="preserve">    </w:t>
      </w:r>
    </w:p>
    <w:p w14:paraId="73B4BC7C" w14:textId="08BD3955" w:rsidR="003F2AA8" w:rsidRDefault="005B0C13" w:rsidP="00F12018">
      <w:pPr>
        <w:pStyle w:val="ReferencesText"/>
      </w:pPr>
      <w:r w:rsidRPr="00F12018">
        <w:t>Steel, A.E., Anderson, J.J., Mulvey, B., &amp; Smith, D.L. (2020). Applying the mean free-path length model to juvenile Chinook salmon migrating in the Sacramento River, California. Environmental Biology of Fishes, 103, 1603-1617.</w:t>
      </w:r>
      <w:r w:rsidR="00EF2219" w:rsidRPr="00F12018">
        <w:t xml:space="preserve"> https://doi.org/10.1007/s10641-020-01046-8</w:t>
      </w:r>
      <w:r w:rsidR="0033328D" w:rsidRPr="008A6159">
        <w:t xml:space="preserve">   </w:t>
      </w:r>
    </w:p>
    <w:p w14:paraId="3FB33867" w14:textId="7026806F" w:rsidR="0033328D" w:rsidRDefault="0033328D" w:rsidP="001F1C15">
      <w:pPr>
        <w:pStyle w:val="Citation"/>
        <w:rPr>
          <w:rFonts w:asciiTheme="minorHAnsi" w:hAnsiTheme="minorHAnsi" w:cstheme="minorHAnsi"/>
          <w:sz w:val="22"/>
          <w:szCs w:val="22"/>
        </w:rPr>
      </w:pPr>
    </w:p>
    <w:p w14:paraId="101A1172" w14:textId="77777777" w:rsidR="00A0196B" w:rsidRDefault="00A0196B" w:rsidP="001F1C15">
      <w:pPr>
        <w:pStyle w:val="Citation"/>
        <w:rPr>
          <w:rFonts w:asciiTheme="minorHAnsi" w:hAnsiTheme="minorHAnsi" w:cstheme="minorHAnsi"/>
          <w:sz w:val="22"/>
          <w:szCs w:val="22"/>
        </w:rPr>
      </w:pPr>
    </w:p>
    <w:p w14:paraId="4497583D" w14:textId="77777777" w:rsidR="0023102A" w:rsidRDefault="0023102A" w:rsidP="00C43BFE">
      <w:pPr>
        <w:pStyle w:val="ReferencesText"/>
      </w:pPr>
    </w:p>
    <w:p w14:paraId="14D44561" w14:textId="77777777" w:rsidR="004C5349" w:rsidRPr="00B50AA5" w:rsidRDefault="004C5349" w:rsidP="00C43BFE">
      <w:pPr>
        <w:pStyle w:val="ReferencesText"/>
      </w:pPr>
    </w:p>
    <w:sectPr w:rsidR="004C5349" w:rsidRPr="00B50AA5" w:rsidSect="001E1099">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BBC3" w14:textId="77777777" w:rsidR="00613905" w:rsidRDefault="00613905" w:rsidP="009C4219">
      <w:r>
        <w:separator/>
      </w:r>
    </w:p>
  </w:endnote>
  <w:endnote w:type="continuationSeparator" w:id="0">
    <w:p w14:paraId="0A1C3081" w14:textId="77777777" w:rsidR="00613905" w:rsidRDefault="00613905" w:rsidP="009C4219">
      <w:r>
        <w:continuationSeparator/>
      </w:r>
    </w:p>
  </w:endnote>
  <w:endnote w:type="continuationNotice" w:id="1">
    <w:p w14:paraId="47B20570" w14:textId="77777777" w:rsidR="00613905" w:rsidRDefault="006139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C8CF" w14:textId="2D82F4F3" w:rsidR="0057405E" w:rsidRPr="00EF4D23" w:rsidRDefault="00936764" w:rsidP="007137B4">
    <w:pPr>
      <w:pStyle w:val="NormalWeb"/>
      <w:pBdr>
        <w:top w:val="single" w:sz="4" w:space="1" w:color="auto"/>
      </w:pBdr>
      <w:tabs>
        <w:tab w:val="center" w:pos="5040"/>
        <w:tab w:val="right" w:pos="10620"/>
      </w:tabs>
      <w:spacing w:before="0" w:beforeAutospacing="0" w:after="0" w:afterAutospacing="0"/>
      <w:rPr>
        <w:rFonts w:asciiTheme="minorHAnsi" w:hAnsiTheme="minorHAnsi" w:cstheme="minorHAnsi"/>
        <w:sz w:val="17"/>
        <w:szCs w:val="17"/>
      </w:rPr>
    </w:pPr>
    <w:r w:rsidRPr="00EF4D23">
      <w:rPr>
        <w:rFonts w:asciiTheme="minorHAnsi" w:hAnsiTheme="minorHAnsi" w:cstheme="minorHAnsi"/>
        <w:color w:val="000000" w:themeColor="text1"/>
        <w:kern w:val="24"/>
        <w:sz w:val="17"/>
        <w:szCs w:val="17"/>
      </w:rPr>
      <w:fldChar w:fldCharType="begin"/>
    </w:r>
    <w:r w:rsidRPr="00EF4D23">
      <w:rPr>
        <w:rFonts w:asciiTheme="minorHAnsi" w:hAnsiTheme="minorHAnsi" w:cstheme="minorHAnsi"/>
        <w:color w:val="000000" w:themeColor="text1"/>
        <w:kern w:val="24"/>
        <w:sz w:val="17"/>
        <w:szCs w:val="17"/>
      </w:rPr>
      <w:instrText xml:space="preserve"> DATE  \@ "M/d/yyyy" </w:instrText>
    </w:r>
    <w:r w:rsidRPr="00EF4D23">
      <w:rPr>
        <w:rFonts w:asciiTheme="minorHAnsi" w:hAnsiTheme="minorHAnsi" w:cstheme="minorHAnsi"/>
        <w:color w:val="000000" w:themeColor="text1"/>
        <w:kern w:val="24"/>
        <w:sz w:val="17"/>
        <w:szCs w:val="17"/>
      </w:rPr>
      <w:fldChar w:fldCharType="separate"/>
    </w:r>
    <w:r w:rsidR="007D23FF">
      <w:rPr>
        <w:rFonts w:asciiTheme="minorHAnsi" w:hAnsiTheme="minorHAnsi" w:cstheme="minorHAnsi"/>
        <w:noProof/>
        <w:color w:val="000000" w:themeColor="text1"/>
        <w:kern w:val="24"/>
        <w:sz w:val="17"/>
        <w:szCs w:val="17"/>
      </w:rPr>
      <w:t>7/14/2022</w:t>
    </w:r>
    <w:r w:rsidRPr="00EF4D23">
      <w:rPr>
        <w:rFonts w:asciiTheme="minorHAnsi" w:hAnsiTheme="minorHAnsi" w:cstheme="minorHAnsi"/>
        <w:color w:val="000000" w:themeColor="text1"/>
        <w:kern w:val="24"/>
        <w:sz w:val="17"/>
        <w:szCs w:val="17"/>
      </w:rPr>
      <w:fldChar w:fldCharType="end"/>
    </w:r>
    <w:r w:rsidRPr="00EF4D23">
      <w:rPr>
        <w:rFonts w:asciiTheme="minorHAnsi" w:hAnsiTheme="minorHAnsi" w:cstheme="minorHAnsi"/>
        <w:color w:val="000000" w:themeColor="text1"/>
        <w:kern w:val="24"/>
        <w:sz w:val="17"/>
        <w:szCs w:val="17"/>
      </w:rPr>
      <w:tab/>
    </w:r>
    <w:r w:rsidR="008C05CD">
      <w:rPr>
        <w:rFonts w:asciiTheme="minorHAnsi" w:hAnsiTheme="minorHAnsi" w:cstheme="minorHAnsi"/>
        <w:color w:val="000000" w:themeColor="text1"/>
        <w:kern w:val="24"/>
        <w:sz w:val="17"/>
        <w:szCs w:val="17"/>
      </w:rPr>
      <w:t xml:space="preserve">PRELIMINARY DRAFT </w:t>
    </w:r>
    <w:r w:rsidR="00EC6C6E" w:rsidRPr="00EF4D23">
      <w:rPr>
        <w:rFonts w:asciiTheme="minorHAnsi" w:hAnsiTheme="minorHAnsi" w:cstheme="minorHAnsi"/>
        <w:noProof/>
        <w:color w:val="000000" w:themeColor="text1"/>
        <w:kern w:val="24"/>
        <w:sz w:val="17"/>
        <w:szCs w:val="17"/>
      </w:rPr>
      <w:t>TECH MEMO</w:t>
    </w:r>
    <w:r w:rsidRPr="00EF4D23">
      <w:rPr>
        <w:rFonts w:asciiTheme="minorHAnsi" w:hAnsiTheme="minorHAnsi" w:cstheme="minorHAnsi"/>
        <w:color w:val="000000" w:themeColor="text1"/>
        <w:kern w:val="24"/>
        <w:sz w:val="17"/>
        <w:szCs w:val="17"/>
      </w:rPr>
      <w:t xml:space="preserve"> | </w:t>
    </w:r>
    <w:r w:rsidRPr="00EF4D23">
      <w:rPr>
        <w:rFonts w:asciiTheme="minorHAnsi" w:hAnsiTheme="minorHAnsi" w:cstheme="minorHAnsi"/>
        <w:sz w:val="17"/>
        <w:szCs w:val="17"/>
      </w:rPr>
      <w:fldChar w:fldCharType="begin"/>
    </w:r>
    <w:r w:rsidRPr="00EF4D23">
      <w:rPr>
        <w:rFonts w:asciiTheme="minorHAnsi" w:hAnsiTheme="minorHAnsi" w:cstheme="minorHAnsi"/>
        <w:sz w:val="17"/>
        <w:szCs w:val="17"/>
      </w:rPr>
      <w:instrText xml:space="preserve"> FILENAME  \* Caps  \* MERGEFORMAT </w:instrText>
    </w:r>
    <w:r w:rsidRPr="00EF4D23">
      <w:rPr>
        <w:rFonts w:asciiTheme="minorHAnsi" w:hAnsiTheme="minorHAnsi" w:cstheme="minorHAnsi"/>
        <w:sz w:val="17"/>
        <w:szCs w:val="17"/>
      </w:rPr>
      <w:fldChar w:fldCharType="separate"/>
    </w:r>
    <w:r w:rsidR="00BE7DF6" w:rsidRPr="00BE7DF6">
      <w:rPr>
        <w:rFonts w:asciiTheme="minorHAnsi" w:hAnsiTheme="minorHAnsi" w:cstheme="minorHAnsi"/>
        <w:noProof/>
        <w:color w:val="000000" w:themeColor="text1"/>
        <w:kern w:val="24"/>
        <w:sz w:val="17"/>
        <w:szCs w:val="17"/>
      </w:rPr>
      <w:t>Sites</w:t>
    </w:r>
    <w:r w:rsidR="00BE7DF6">
      <w:rPr>
        <w:rFonts w:asciiTheme="minorHAnsi" w:hAnsiTheme="minorHAnsi" w:cstheme="minorHAnsi"/>
        <w:noProof/>
        <w:sz w:val="17"/>
        <w:szCs w:val="17"/>
      </w:rPr>
      <w:t xml:space="preserve"> </w:t>
    </w:r>
    <w:r w:rsidR="00BE7DF6" w:rsidRPr="00BE7DF6">
      <w:rPr>
        <w:rFonts w:asciiTheme="minorHAnsi" w:hAnsiTheme="minorHAnsi" w:cstheme="minorHAnsi"/>
        <w:noProof/>
        <w:color w:val="000000" w:themeColor="text1"/>
        <w:kern w:val="24"/>
        <w:sz w:val="17"/>
        <w:szCs w:val="17"/>
      </w:rPr>
      <w:t>Authority</w:t>
    </w:r>
    <w:r w:rsidR="00BE7DF6">
      <w:rPr>
        <w:rFonts w:asciiTheme="minorHAnsi" w:hAnsiTheme="minorHAnsi" w:cstheme="minorHAnsi"/>
        <w:noProof/>
        <w:sz w:val="17"/>
        <w:szCs w:val="17"/>
      </w:rPr>
      <w:t xml:space="preserve"> PAM Memo Response _ 20220714.Docx</w:t>
    </w:r>
    <w:r w:rsidRPr="00EF4D23">
      <w:rPr>
        <w:rFonts w:asciiTheme="minorHAnsi" w:hAnsiTheme="minorHAnsi" w:cstheme="minorHAnsi"/>
        <w:noProof/>
        <w:sz w:val="17"/>
        <w:szCs w:val="17"/>
      </w:rPr>
      <w:fldChar w:fldCharType="end"/>
    </w:r>
    <w:r w:rsidRPr="00EF4D23">
      <w:rPr>
        <w:rFonts w:asciiTheme="minorHAnsi" w:hAnsiTheme="minorHAnsi" w:cstheme="minorHAnsi"/>
        <w:color w:val="000000" w:themeColor="text1"/>
        <w:kern w:val="24"/>
        <w:sz w:val="17"/>
        <w:szCs w:val="17"/>
      </w:rPr>
      <w:tab/>
    </w:r>
    <w:r w:rsidR="006A652C" w:rsidRPr="006A652C">
      <w:rPr>
        <w:rStyle w:val="PageNumber"/>
        <w:rFonts w:ascii="Calibri" w:eastAsia="Times New Roman" w:hAnsi="Calibri" w:cstheme="minorBidi"/>
        <w:snapToGrid w:val="0"/>
        <w:sz w:val="17"/>
        <w:szCs w:val="17"/>
      </w:rPr>
      <w:fldChar w:fldCharType="begin"/>
    </w:r>
    <w:r w:rsidR="006A652C" w:rsidRPr="006A652C">
      <w:rPr>
        <w:rStyle w:val="PageNumber"/>
        <w:rFonts w:ascii="Calibri" w:eastAsia="Times New Roman" w:hAnsi="Calibri" w:cstheme="minorBidi"/>
        <w:snapToGrid w:val="0"/>
        <w:sz w:val="17"/>
        <w:szCs w:val="17"/>
      </w:rPr>
      <w:instrText xml:space="preserve"> PAGE </w:instrText>
    </w:r>
    <w:r w:rsidR="006A652C" w:rsidRPr="006A652C">
      <w:rPr>
        <w:rStyle w:val="PageNumber"/>
        <w:rFonts w:ascii="Calibri" w:eastAsia="Times New Roman" w:hAnsi="Calibri" w:cstheme="minorBidi"/>
        <w:snapToGrid w:val="0"/>
        <w:sz w:val="17"/>
        <w:szCs w:val="17"/>
      </w:rPr>
      <w:fldChar w:fldCharType="separate"/>
    </w:r>
    <w:r w:rsidR="006A652C" w:rsidRPr="006A652C">
      <w:rPr>
        <w:rStyle w:val="PageNumber"/>
        <w:rFonts w:ascii="Calibri" w:eastAsia="Times New Roman" w:hAnsi="Calibri" w:cstheme="minorBidi"/>
        <w:noProof/>
        <w:snapToGrid w:val="0"/>
        <w:sz w:val="17"/>
        <w:szCs w:val="17"/>
      </w:rPr>
      <w:t>1</w:t>
    </w:r>
    <w:r w:rsidR="006A652C" w:rsidRPr="006A652C">
      <w:rPr>
        <w:rStyle w:val="PageNumber"/>
        <w:rFonts w:ascii="Calibri" w:eastAsia="Times New Roman" w:hAnsi="Calibri" w:cstheme="minorBidi"/>
        <w:snapToGrid w:val="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Ind w:w="450" w:type="dxa"/>
      <w:tblBorders>
        <w:top w:val="single" w:sz="2" w:space="0" w:color="808080"/>
      </w:tblBorders>
      <w:tblLayout w:type="fixed"/>
      <w:tblCellMar>
        <w:left w:w="115" w:type="dxa"/>
        <w:right w:w="115" w:type="dxa"/>
      </w:tblCellMar>
      <w:tblLook w:val="04A0" w:firstRow="1" w:lastRow="0" w:firstColumn="1" w:lastColumn="0" w:noHBand="0" w:noVBand="1"/>
    </w:tblPr>
    <w:tblGrid>
      <w:gridCol w:w="810"/>
      <w:gridCol w:w="6030"/>
      <w:gridCol w:w="900"/>
      <w:gridCol w:w="540"/>
      <w:gridCol w:w="810"/>
      <w:gridCol w:w="540"/>
    </w:tblGrid>
    <w:tr w:rsidR="00ED69E5" w:rsidRPr="005A2DB4" w14:paraId="48FEC797" w14:textId="77777777" w:rsidTr="00EF4D23">
      <w:trPr>
        <w:trHeight w:val="175"/>
      </w:trPr>
      <w:tc>
        <w:tcPr>
          <w:tcW w:w="810" w:type="dxa"/>
          <w:tcBorders>
            <w:top w:val="single" w:sz="2" w:space="0" w:color="808080"/>
            <w:left w:val="nil"/>
            <w:bottom w:val="nil"/>
            <w:right w:val="nil"/>
          </w:tcBorders>
          <w:vAlign w:val="bottom"/>
        </w:tcPr>
        <w:p w14:paraId="5641CB66" w14:textId="08DFDF6C" w:rsidR="00ED69E5" w:rsidRPr="005A2DB4" w:rsidRDefault="00ED69E5" w:rsidP="00ED69E5">
          <w:pPr>
            <w:spacing w:before="40" w:after="40"/>
            <w:rPr>
              <w:sz w:val="12"/>
              <w:szCs w:val="12"/>
            </w:rPr>
          </w:pPr>
        </w:p>
      </w:tc>
      <w:tc>
        <w:tcPr>
          <w:tcW w:w="6030" w:type="dxa"/>
          <w:tcBorders>
            <w:top w:val="single" w:sz="2" w:space="0" w:color="808080"/>
            <w:left w:val="nil"/>
            <w:bottom w:val="nil"/>
            <w:right w:val="nil"/>
          </w:tcBorders>
          <w:vAlign w:val="bottom"/>
        </w:tcPr>
        <w:p w14:paraId="3524E8A3" w14:textId="3DA5489F" w:rsidR="00ED69E5" w:rsidRPr="005A2DB4" w:rsidRDefault="00ED69E5" w:rsidP="00ED69E5">
          <w:pPr>
            <w:spacing w:before="40" w:after="40"/>
            <w:rPr>
              <w:sz w:val="12"/>
              <w:szCs w:val="12"/>
            </w:rPr>
          </w:pPr>
        </w:p>
      </w:tc>
      <w:tc>
        <w:tcPr>
          <w:tcW w:w="900" w:type="dxa"/>
          <w:tcBorders>
            <w:top w:val="single" w:sz="2" w:space="0" w:color="808080"/>
            <w:left w:val="nil"/>
            <w:bottom w:val="nil"/>
            <w:right w:val="nil"/>
          </w:tcBorders>
          <w:vAlign w:val="bottom"/>
        </w:tcPr>
        <w:p w14:paraId="63FD9439" w14:textId="609E8D72" w:rsidR="00ED69E5" w:rsidRPr="005A2DB4" w:rsidRDefault="00ED69E5" w:rsidP="00ED69E5">
          <w:pPr>
            <w:spacing w:before="40" w:after="40"/>
            <w:rPr>
              <w:sz w:val="12"/>
              <w:szCs w:val="12"/>
            </w:rPr>
          </w:pPr>
        </w:p>
      </w:tc>
      <w:tc>
        <w:tcPr>
          <w:tcW w:w="540" w:type="dxa"/>
          <w:tcBorders>
            <w:top w:val="single" w:sz="2" w:space="0" w:color="808080"/>
            <w:left w:val="nil"/>
            <w:bottom w:val="nil"/>
            <w:right w:val="nil"/>
          </w:tcBorders>
          <w:vAlign w:val="bottom"/>
        </w:tcPr>
        <w:p w14:paraId="122C34D6" w14:textId="485ADB5E" w:rsidR="00ED69E5" w:rsidRPr="005A2DB4" w:rsidRDefault="00ED69E5" w:rsidP="00ED69E5">
          <w:pPr>
            <w:spacing w:before="40" w:after="40"/>
            <w:jc w:val="center"/>
            <w:rPr>
              <w:sz w:val="12"/>
              <w:szCs w:val="12"/>
            </w:rPr>
          </w:pPr>
        </w:p>
      </w:tc>
      <w:tc>
        <w:tcPr>
          <w:tcW w:w="810" w:type="dxa"/>
          <w:tcBorders>
            <w:top w:val="single" w:sz="2" w:space="0" w:color="808080"/>
            <w:left w:val="nil"/>
            <w:bottom w:val="nil"/>
            <w:right w:val="nil"/>
          </w:tcBorders>
          <w:vAlign w:val="bottom"/>
        </w:tcPr>
        <w:p w14:paraId="44F3BF52" w14:textId="4B1A3B1E" w:rsidR="00ED69E5" w:rsidRPr="005A2DB4" w:rsidRDefault="00ED69E5" w:rsidP="00ED69E5">
          <w:pPr>
            <w:spacing w:before="40" w:after="40"/>
            <w:jc w:val="center"/>
            <w:rPr>
              <w:sz w:val="12"/>
              <w:szCs w:val="12"/>
            </w:rPr>
          </w:pPr>
        </w:p>
      </w:tc>
      <w:tc>
        <w:tcPr>
          <w:tcW w:w="540" w:type="dxa"/>
          <w:tcBorders>
            <w:top w:val="single" w:sz="2" w:space="0" w:color="808080"/>
            <w:left w:val="nil"/>
            <w:bottom w:val="nil"/>
            <w:right w:val="nil"/>
          </w:tcBorders>
          <w:vAlign w:val="bottom"/>
        </w:tcPr>
        <w:p w14:paraId="55FF94DD" w14:textId="77777777" w:rsidR="00ED69E5" w:rsidRPr="005A2DB4" w:rsidRDefault="00ED69E5" w:rsidP="00ED69E5">
          <w:pPr>
            <w:spacing w:before="40" w:after="40"/>
            <w:jc w:val="center"/>
            <w:rPr>
              <w:sz w:val="12"/>
              <w:szCs w:val="12"/>
            </w:rPr>
          </w:pPr>
        </w:p>
      </w:tc>
    </w:tr>
    <w:tr w:rsidR="00ED69E5" w:rsidRPr="005A2DB4" w14:paraId="22C26F19" w14:textId="77777777" w:rsidTr="00EF4D23">
      <w:tc>
        <w:tcPr>
          <w:tcW w:w="810" w:type="dxa"/>
          <w:tcBorders>
            <w:top w:val="nil"/>
            <w:left w:val="nil"/>
            <w:bottom w:val="nil"/>
            <w:right w:val="nil"/>
          </w:tcBorders>
          <w:vAlign w:val="bottom"/>
        </w:tcPr>
        <w:p w14:paraId="713BB582" w14:textId="4290DCC3" w:rsidR="00ED69E5" w:rsidRPr="005A2DB4" w:rsidRDefault="00ED69E5" w:rsidP="00ED69E5">
          <w:pPr>
            <w:spacing w:before="40" w:after="40"/>
            <w:rPr>
              <w:sz w:val="12"/>
              <w:szCs w:val="12"/>
            </w:rPr>
          </w:pPr>
        </w:p>
      </w:tc>
      <w:tc>
        <w:tcPr>
          <w:tcW w:w="6030" w:type="dxa"/>
          <w:tcBorders>
            <w:top w:val="nil"/>
            <w:left w:val="nil"/>
            <w:bottom w:val="nil"/>
            <w:right w:val="nil"/>
          </w:tcBorders>
          <w:vAlign w:val="bottom"/>
        </w:tcPr>
        <w:p w14:paraId="1AAF2B46" w14:textId="5767C22B" w:rsidR="00ED69E5" w:rsidRPr="005A2DB4" w:rsidRDefault="00ED69E5" w:rsidP="00ED69E5">
          <w:pPr>
            <w:spacing w:before="40" w:after="40"/>
            <w:rPr>
              <w:sz w:val="12"/>
              <w:szCs w:val="12"/>
            </w:rPr>
          </w:pPr>
        </w:p>
      </w:tc>
      <w:tc>
        <w:tcPr>
          <w:tcW w:w="900" w:type="dxa"/>
          <w:tcBorders>
            <w:top w:val="nil"/>
            <w:left w:val="nil"/>
            <w:bottom w:val="nil"/>
            <w:right w:val="nil"/>
          </w:tcBorders>
          <w:vAlign w:val="bottom"/>
        </w:tcPr>
        <w:p w14:paraId="4D1BD766" w14:textId="5C342477" w:rsidR="00ED69E5" w:rsidRPr="005A2DB4" w:rsidRDefault="00ED69E5" w:rsidP="00ED69E5">
          <w:pPr>
            <w:spacing w:before="40" w:after="40"/>
            <w:rPr>
              <w:sz w:val="12"/>
              <w:szCs w:val="12"/>
            </w:rPr>
          </w:pPr>
        </w:p>
      </w:tc>
      <w:tc>
        <w:tcPr>
          <w:tcW w:w="1890" w:type="dxa"/>
          <w:gridSpan w:val="3"/>
          <w:tcBorders>
            <w:top w:val="nil"/>
            <w:left w:val="nil"/>
            <w:bottom w:val="nil"/>
            <w:right w:val="nil"/>
          </w:tcBorders>
          <w:vAlign w:val="bottom"/>
        </w:tcPr>
        <w:p w14:paraId="40233C05" w14:textId="0F8AD5AE" w:rsidR="00ED69E5" w:rsidRPr="005A2DB4" w:rsidRDefault="00ED69E5" w:rsidP="00ED69E5">
          <w:pPr>
            <w:spacing w:before="40" w:after="40"/>
            <w:rPr>
              <w:sz w:val="12"/>
              <w:szCs w:val="12"/>
            </w:rPr>
          </w:pPr>
        </w:p>
      </w:tc>
    </w:tr>
    <w:tr w:rsidR="00ED69E5" w:rsidRPr="005A2DB4" w14:paraId="5EF8787F" w14:textId="77777777" w:rsidTr="00EF4D23">
      <w:tc>
        <w:tcPr>
          <w:tcW w:w="810" w:type="dxa"/>
          <w:tcBorders>
            <w:top w:val="nil"/>
            <w:left w:val="nil"/>
            <w:bottom w:val="nil"/>
            <w:right w:val="nil"/>
          </w:tcBorders>
          <w:vAlign w:val="bottom"/>
        </w:tcPr>
        <w:p w14:paraId="182CDF69" w14:textId="6ED4B326" w:rsidR="00ED69E5" w:rsidRPr="005A2DB4" w:rsidRDefault="00ED69E5" w:rsidP="00ED69E5">
          <w:pPr>
            <w:spacing w:before="40" w:after="40"/>
            <w:rPr>
              <w:sz w:val="12"/>
              <w:szCs w:val="12"/>
            </w:rPr>
          </w:pPr>
        </w:p>
      </w:tc>
      <w:tc>
        <w:tcPr>
          <w:tcW w:w="6030" w:type="dxa"/>
          <w:tcBorders>
            <w:top w:val="nil"/>
            <w:left w:val="nil"/>
            <w:bottom w:val="nil"/>
            <w:right w:val="nil"/>
          </w:tcBorders>
          <w:vAlign w:val="bottom"/>
        </w:tcPr>
        <w:p w14:paraId="0C838402" w14:textId="77777777" w:rsidR="00ED69E5" w:rsidRPr="005A2DB4" w:rsidRDefault="00ED69E5" w:rsidP="00ED69E5">
          <w:pPr>
            <w:spacing w:before="40" w:after="40"/>
            <w:rPr>
              <w:sz w:val="12"/>
              <w:szCs w:val="12"/>
            </w:rPr>
          </w:pPr>
        </w:p>
      </w:tc>
      <w:tc>
        <w:tcPr>
          <w:tcW w:w="900" w:type="dxa"/>
          <w:tcBorders>
            <w:top w:val="nil"/>
            <w:left w:val="nil"/>
            <w:bottom w:val="nil"/>
            <w:right w:val="nil"/>
          </w:tcBorders>
          <w:vAlign w:val="bottom"/>
        </w:tcPr>
        <w:p w14:paraId="2C6BF16E" w14:textId="3F1DA1CB" w:rsidR="00ED69E5" w:rsidRPr="005A2DB4" w:rsidRDefault="00ED69E5" w:rsidP="00ED69E5">
          <w:pPr>
            <w:spacing w:before="40" w:after="40"/>
            <w:rPr>
              <w:sz w:val="12"/>
              <w:szCs w:val="12"/>
            </w:rPr>
          </w:pPr>
        </w:p>
      </w:tc>
      <w:tc>
        <w:tcPr>
          <w:tcW w:w="540" w:type="dxa"/>
          <w:tcBorders>
            <w:top w:val="nil"/>
            <w:left w:val="nil"/>
            <w:bottom w:val="nil"/>
            <w:right w:val="nil"/>
          </w:tcBorders>
          <w:vAlign w:val="bottom"/>
        </w:tcPr>
        <w:p w14:paraId="4419E559" w14:textId="073CB5F8" w:rsidR="00ED69E5" w:rsidRPr="005A2DB4" w:rsidRDefault="00ED69E5" w:rsidP="00ED69E5">
          <w:pPr>
            <w:spacing w:before="40" w:after="40"/>
            <w:jc w:val="center"/>
            <w:rPr>
              <w:sz w:val="12"/>
              <w:szCs w:val="12"/>
            </w:rPr>
          </w:pPr>
        </w:p>
      </w:tc>
      <w:tc>
        <w:tcPr>
          <w:tcW w:w="810" w:type="dxa"/>
          <w:tcBorders>
            <w:top w:val="nil"/>
            <w:left w:val="nil"/>
            <w:bottom w:val="nil"/>
            <w:right w:val="nil"/>
          </w:tcBorders>
          <w:vAlign w:val="bottom"/>
        </w:tcPr>
        <w:p w14:paraId="30805FC0" w14:textId="13DC5886" w:rsidR="00ED69E5" w:rsidRPr="005A2DB4" w:rsidRDefault="00ED69E5" w:rsidP="00ED69E5">
          <w:pPr>
            <w:spacing w:before="40" w:after="40"/>
            <w:jc w:val="center"/>
            <w:rPr>
              <w:sz w:val="12"/>
              <w:szCs w:val="12"/>
            </w:rPr>
          </w:pPr>
        </w:p>
      </w:tc>
      <w:tc>
        <w:tcPr>
          <w:tcW w:w="540" w:type="dxa"/>
          <w:tcBorders>
            <w:top w:val="nil"/>
            <w:left w:val="nil"/>
            <w:bottom w:val="nil"/>
            <w:right w:val="nil"/>
          </w:tcBorders>
          <w:vAlign w:val="bottom"/>
        </w:tcPr>
        <w:p w14:paraId="47E6091D" w14:textId="4A720952" w:rsidR="00ED69E5" w:rsidRPr="005A2DB4" w:rsidRDefault="00ED69E5" w:rsidP="00ED69E5">
          <w:pPr>
            <w:spacing w:before="40" w:after="40"/>
            <w:jc w:val="center"/>
            <w:rPr>
              <w:sz w:val="12"/>
              <w:szCs w:val="12"/>
            </w:rPr>
          </w:pPr>
        </w:p>
      </w:tc>
    </w:tr>
  </w:tbl>
  <w:p w14:paraId="565CA867" w14:textId="5F7CEA9F" w:rsidR="00BF1EA0" w:rsidRPr="00ED69E5" w:rsidRDefault="00BF1EA0" w:rsidP="00ED69E5">
    <w:pPr>
      <w:pStyle w:val="Footer"/>
      <w:spacing w:after="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186C" w14:textId="77777777" w:rsidR="00613905" w:rsidRDefault="00613905" w:rsidP="009C4219">
      <w:r>
        <w:separator/>
      </w:r>
    </w:p>
  </w:footnote>
  <w:footnote w:type="continuationSeparator" w:id="0">
    <w:p w14:paraId="3BB49E22" w14:textId="77777777" w:rsidR="00613905" w:rsidRDefault="00613905" w:rsidP="009C4219">
      <w:r>
        <w:continuationSeparator/>
      </w:r>
    </w:p>
  </w:footnote>
  <w:footnote w:type="continuationNotice" w:id="1">
    <w:p w14:paraId="36D2B7C6" w14:textId="77777777" w:rsidR="00613905" w:rsidRDefault="006139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7B3"/>
    <w:multiLevelType w:val="hybridMultilevel"/>
    <w:tmpl w:val="E92A83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C691C"/>
    <w:multiLevelType w:val="hybridMultilevel"/>
    <w:tmpl w:val="5F48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83E8F"/>
    <w:multiLevelType w:val="multilevel"/>
    <w:tmpl w:val="BFE2B514"/>
    <w:styleLink w:val="ICFJSListBullet"/>
    <w:lvl w:ilvl="0">
      <w:start w:val="1"/>
      <w:numFmt w:val="bullet"/>
      <w:pStyle w:val="ListBullet"/>
      <w:lvlText w:val=""/>
      <w:lvlJc w:val="left"/>
      <w:pPr>
        <w:ind w:left="720" w:hanging="360"/>
      </w:pPr>
      <w:rPr>
        <w:rFonts w:ascii="Wingdings" w:hAnsi="Wingdings" w:hint="default"/>
        <w:b w:val="0"/>
        <w:i w:val="0"/>
        <w:caps w:val="0"/>
        <w:strike w:val="0"/>
        <w:dstrike w:val="0"/>
        <w:vanish w:val="0"/>
        <w:color w:val="auto"/>
        <w:spacing w:val="0"/>
        <w:w w:val="100"/>
        <w:kern w:val="0"/>
        <w:position w:val="0"/>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istBullet2"/>
      <w:lvlText w:val=""/>
      <w:lvlJc w:val="left"/>
      <w:pPr>
        <w:tabs>
          <w:tab w:val="num" w:pos="1080"/>
        </w:tabs>
        <w:ind w:left="108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istBullet3"/>
      <w:lvlText w:val=""/>
      <w:lvlJc w:val="left"/>
      <w:pPr>
        <w:tabs>
          <w:tab w:val="num" w:pos="1440"/>
        </w:tabs>
        <w:ind w:left="144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istBullet4"/>
      <w:lvlText w:val=""/>
      <w:lvlJc w:val="left"/>
      <w:pPr>
        <w:tabs>
          <w:tab w:val="num" w:pos="1800"/>
        </w:tabs>
        <w:ind w:left="180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ListBullet5"/>
      <w:lvlText w:val=""/>
      <w:lvlJc w:val="left"/>
      <w:pPr>
        <w:tabs>
          <w:tab w:val="num" w:pos="2160"/>
        </w:tabs>
        <w:ind w:left="216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Wingdings" w:hAnsi="Wingdings" w:hint="default"/>
        <w:b w:val="0"/>
        <w:i w:val="0"/>
        <w:caps w:val="0"/>
        <w:strike w:val="0"/>
        <w:dstrike w:val="0"/>
        <w:vanish w:val="0"/>
        <w:color w:val="auto"/>
        <w:sz w:val="15"/>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Wingdings" w:hAnsi="Wingdings" w:hint="default"/>
        <w:b w:val="0"/>
        <w:i w:val="0"/>
        <w:caps w:val="0"/>
        <w:strike w:val="0"/>
        <w:dstrike w:val="0"/>
        <w:vanish w:val="0"/>
        <w:color w:val="auto"/>
        <w:sz w:val="1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Wingdings" w:hAnsi="Wingdings" w:hint="default"/>
        <w:b w:val="0"/>
        <w:i w:val="0"/>
        <w:caps w:val="0"/>
        <w:strike w:val="0"/>
        <w:dstrike w:val="0"/>
        <w:vanish w:val="0"/>
        <w:color w:val="auto"/>
        <w:sz w:val="15"/>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9E4EE4"/>
    <w:multiLevelType w:val="hybridMultilevel"/>
    <w:tmpl w:val="02F482DA"/>
    <w:lvl w:ilvl="0" w:tplc="F35487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D4308"/>
    <w:multiLevelType w:val="multilevel"/>
    <w:tmpl w:val="F80CAE12"/>
    <w:numStyleLink w:val="ICFJSListNumber"/>
  </w:abstractNum>
  <w:abstractNum w:abstractNumId="5" w15:restartNumberingAfterBreak="0">
    <w:nsid w:val="11291635"/>
    <w:multiLevelType w:val="hybridMultilevel"/>
    <w:tmpl w:val="FFFFFFFF"/>
    <w:lvl w:ilvl="0" w:tplc="26F4E258">
      <w:start w:val="1"/>
      <w:numFmt w:val="bullet"/>
      <w:lvlText w:val="·"/>
      <w:lvlJc w:val="left"/>
      <w:pPr>
        <w:ind w:left="720" w:hanging="360"/>
      </w:pPr>
      <w:rPr>
        <w:rFonts w:ascii="Symbol" w:hAnsi="Symbol" w:hint="default"/>
      </w:rPr>
    </w:lvl>
    <w:lvl w:ilvl="1" w:tplc="E806C152">
      <w:start w:val="1"/>
      <w:numFmt w:val="bullet"/>
      <w:lvlText w:val="o"/>
      <w:lvlJc w:val="left"/>
      <w:pPr>
        <w:ind w:left="1440" w:hanging="360"/>
      </w:pPr>
      <w:rPr>
        <w:rFonts w:ascii="Courier New" w:hAnsi="Courier New" w:hint="default"/>
      </w:rPr>
    </w:lvl>
    <w:lvl w:ilvl="2" w:tplc="00B6A1C2">
      <w:start w:val="1"/>
      <w:numFmt w:val="bullet"/>
      <w:lvlText w:val=""/>
      <w:lvlJc w:val="left"/>
      <w:pPr>
        <w:ind w:left="2160" w:hanging="360"/>
      </w:pPr>
      <w:rPr>
        <w:rFonts w:ascii="Wingdings" w:hAnsi="Wingdings" w:hint="default"/>
      </w:rPr>
    </w:lvl>
    <w:lvl w:ilvl="3" w:tplc="23A6DDD4">
      <w:start w:val="1"/>
      <w:numFmt w:val="bullet"/>
      <w:lvlText w:val=""/>
      <w:lvlJc w:val="left"/>
      <w:pPr>
        <w:ind w:left="2880" w:hanging="360"/>
      </w:pPr>
      <w:rPr>
        <w:rFonts w:ascii="Symbol" w:hAnsi="Symbol" w:hint="default"/>
      </w:rPr>
    </w:lvl>
    <w:lvl w:ilvl="4" w:tplc="D144B544">
      <w:start w:val="1"/>
      <w:numFmt w:val="bullet"/>
      <w:lvlText w:val="o"/>
      <w:lvlJc w:val="left"/>
      <w:pPr>
        <w:ind w:left="3600" w:hanging="360"/>
      </w:pPr>
      <w:rPr>
        <w:rFonts w:ascii="Courier New" w:hAnsi="Courier New" w:hint="default"/>
      </w:rPr>
    </w:lvl>
    <w:lvl w:ilvl="5" w:tplc="6A082ACA">
      <w:start w:val="1"/>
      <w:numFmt w:val="bullet"/>
      <w:lvlText w:val=""/>
      <w:lvlJc w:val="left"/>
      <w:pPr>
        <w:ind w:left="4320" w:hanging="360"/>
      </w:pPr>
      <w:rPr>
        <w:rFonts w:ascii="Wingdings" w:hAnsi="Wingdings" w:hint="default"/>
      </w:rPr>
    </w:lvl>
    <w:lvl w:ilvl="6" w:tplc="0D5288C2">
      <w:start w:val="1"/>
      <w:numFmt w:val="bullet"/>
      <w:lvlText w:val=""/>
      <w:lvlJc w:val="left"/>
      <w:pPr>
        <w:ind w:left="5040" w:hanging="360"/>
      </w:pPr>
      <w:rPr>
        <w:rFonts w:ascii="Symbol" w:hAnsi="Symbol" w:hint="default"/>
      </w:rPr>
    </w:lvl>
    <w:lvl w:ilvl="7" w:tplc="E9BA2BFC">
      <w:start w:val="1"/>
      <w:numFmt w:val="bullet"/>
      <w:lvlText w:val="o"/>
      <w:lvlJc w:val="left"/>
      <w:pPr>
        <w:ind w:left="5760" w:hanging="360"/>
      </w:pPr>
      <w:rPr>
        <w:rFonts w:ascii="Courier New" w:hAnsi="Courier New" w:hint="default"/>
      </w:rPr>
    </w:lvl>
    <w:lvl w:ilvl="8" w:tplc="E7E4D1C0">
      <w:start w:val="1"/>
      <w:numFmt w:val="bullet"/>
      <w:lvlText w:val=""/>
      <w:lvlJc w:val="left"/>
      <w:pPr>
        <w:ind w:left="6480" w:hanging="360"/>
      </w:pPr>
      <w:rPr>
        <w:rFonts w:ascii="Wingdings" w:hAnsi="Wingdings" w:hint="default"/>
      </w:rPr>
    </w:lvl>
  </w:abstractNum>
  <w:abstractNum w:abstractNumId="6" w15:restartNumberingAfterBreak="0">
    <w:nsid w:val="128B187A"/>
    <w:multiLevelType w:val="hybridMultilevel"/>
    <w:tmpl w:val="AFE0B952"/>
    <w:lvl w:ilvl="0" w:tplc="0066988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60AD4"/>
    <w:multiLevelType w:val="hybridMultilevel"/>
    <w:tmpl w:val="FFFFFFFF"/>
    <w:lvl w:ilvl="0" w:tplc="2B18A35E">
      <w:start w:val="1"/>
      <w:numFmt w:val="bullet"/>
      <w:lvlText w:val="·"/>
      <w:lvlJc w:val="left"/>
      <w:pPr>
        <w:ind w:left="720" w:hanging="360"/>
      </w:pPr>
      <w:rPr>
        <w:rFonts w:ascii="Symbol" w:hAnsi="Symbol" w:hint="default"/>
      </w:rPr>
    </w:lvl>
    <w:lvl w:ilvl="1" w:tplc="C5F4DF2A">
      <w:start w:val="1"/>
      <w:numFmt w:val="bullet"/>
      <w:lvlText w:val="o"/>
      <w:lvlJc w:val="left"/>
      <w:pPr>
        <w:ind w:left="1440" w:hanging="360"/>
      </w:pPr>
      <w:rPr>
        <w:rFonts w:ascii="Courier New" w:hAnsi="Courier New" w:hint="default"/>
      </w:rPr>
    </w:lvl>
    <w:lvl w:ilvl="2" w:tplc="0C06A12E">
      <w:start w:val="1"/>
      <w:numFmt w:val="bullet"/>
      <w:lvlText w:val=""/>
      <w:lvlJc w:val="left"/>
      <w:pPr>
        <w:ind w:left="2160" w:hanging="360"/>
      </w:pPr>
      <w:rPr>
        <w:rFonts w:ascii="Wingdings" w:hAnsi="Wingdings" w:hint="default"/>
      </w:rPr>
    </w:lvl>
    <w:lvl w:ilvl="3" w:tplc="FA567646">
      <w:start w:val="1"/>
      <w:numFmt w:val="bullet"/>
      <w:lvlText w:val=""/>
      <w:lvlJc w:val="left"/>
      <w:pPr>
        <w:ind w:left="2880" w:hanging="360"/>
      </w:pPr>
      <w:rPr>
        <w:rFonts w:ascii="Symbol" w:hAnsi="Symbol" w:hint="default"/>
      </w:rPr>
    </w:lvl>
    <w:lvl w:ilvl="4" w:tplc="BE74E940">
      <w:start w:val="1"/>
      <w:numFmt w:val="bullet"/>
      <w:lvlText w:val="o"/>
      <w:lvlJc w:val="left"/>
      <w:pPr>
        <w:ind w:left="3600" w:hanging="360"/>
      </w:pPr>
      <w:rPr>
        <w:rFonts w:ascii="Courier New" w:hAnsi="Courier New" w:hint="default"/>
      </w:rPr>
    </w:lvl>
    <w:lvl w:ilvl="5" w:tplc="F4F27F5E">
      <w:start w:val="1"/>
      <w:numFmt w:val="bullet"/>
      <w:lvlText w:val=""/>
      <w:lvlJc w:val="left"/>
      <w:pPr>
        <w:ind w:left="4320" w:hanging="360"/>
      </w:pPr>
      <w:rPr>
        <w:rFonts w:ascii="Wingdings" w:hAnsi="Wingdings" w:hint="default"/>
      </w:rPr>
    </w:lvl>
    <w:lvl w:ilvl="6" w:tplc="A3D4960C">
      <w:start w:val="1"/>
      <w:numFmt w:val="bullet"/>
      <w:lvlText w:val=""/>
      <w:lvlJc w:val="left"/>
      <w:pPr>
        <w:ind w:left="5040" w:hanging="360"/>
      </w:pPr>
      <w:rPr>
        <w:rFonts w:ascii="Symbol" w:hAnsi="Symbol" w:hint="default"/>
      </w:rPr>
    </w:lvl>
    <w:lvl w:ilvl="7" w:tplc="ED1CFB10">
      <w:start w:val="1"/>
      <w:numFmt w:val="bullet"/>
      <w:lvlText w:val="o"/>
      <w:lvlJc w:val="left"/>
      <w:pPr>
        <w:ind w:left="5760" w:hanging="360"/>
      </w:pPr>
      <w:rPr>
        <w:rFonts w:ascii="Courier New" w:hAnsi="Courier New" w:hint="default"/>
      </w:rPr>
    </w:lvl>
    <w:lvl w:ilvl="8" w:tplc="2774DF40">
      <w:start w:val="1"/>
      <w:numFmt w:val="bullet"/>
      <w:lvlText w:val=""/>
      <w:lvlJc w:val="left"/>
      <w:pPr>
        <w:ind w:left="6480" w:hanging="360"/>
      </w:pPr>
      <w:rPr>
        <w:rFonts w:ascii="Wingdings" w:hAnsi="Wingdings" w:hint="default"/>
      </w:rPr>
    </w:lvl>
  </w:abstractNum>
  <w:abstractNum w:abstractNumId="8" w15:restartNumberingAfterBreak="0">
    <w:nsid w:val="20504C56"/>
    <w:multiLevelType w:val="hybridMultilevel"/>
    <w:tmpl w:val="EB06CC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09352E0"/>
    <w:multiLevelType w:val="hybridMultilevel"/>
    <w:tmpl w:val="3FF4E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84CC4"/>
    <w:multiLevelType w:val="hybridMultilevel"/>
    <w:tmpl w:val="A3BA9D7E"/>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3B502E4"/>
    <w:multiLevelType w:val="hybridMultilevel"/>
    <w:tmpl w:val="461AD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CD2E43"/>
    <w:multiLevelType w:val="hybridMultilevel"/>
    <w:tmpl w:val="A98CD808"/>
    <w:lvl w:ilvl="0" w:tplc="546C118C">
      <w:start w:val="1"/>
      <w:numFmt w:val="decimal"/>
      <w:pStyle w:val="main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E231D"/>
    <w:multiLevelType w:val="multilevel"/>
    <w:tmpl w:val="2FB0F724"/>
    <w:lvl w:ilvl="0">
      <w:start w:val="1"/>
      <w:numFmt w:val="bullet"/>
      <w:pStyle w:val="BulletOutline1"/>
      <w:lvlText w:val=""/>
      <w:lvlJc w:val="left"/>
      <w:pPr>
        <w:tabs>
          <w:tab w:val="num" w:pos="360"/>
        </w:tabs>
        <w:ind w:left="720" w:hanging="360"/>
      </w:pPr>
      <w:rPr>
        <w:rFonts w:ascii="Wingdings" w:hAnsi="Wingdings" w:hint="default"/>
      </w:rPr>
    </w:lvl>
    <w:lvl w:ilvl="1">
      <w:start w:val="1"/>
      <w:numFmt w:val="bullet"/>
      <w:pStyle w:val="BulletOutline2"/>
      <w:lvlText w:val="o"/>
      <w:lvlJc w:val="left"/>
      <w:pPr>
        <w:tabs>
          <w:tab w:val="num" w:pos="720"/>
        </w:tabs>
        <w:ind w:left="1080" w:hanging="360"/>
      </w:pPr>
      <w:rPr>
        <w:rFonts w:ascii="Courier New" w:hAnsi="Courier New" w:cs="Courier New" w:hint="default"/>
      </w:rPr>
    </w:lvl>
    <w:lvl w:ilvl="2">
      <w:start w:val="1"/>
      <w:numFmt w:val="bullet"/>
      <w:pStyle w:val="BulletOutline3"/>
      <w:lvlText w:val=""/>
      <w:lvlJc w:val="left"/>
      <w:pPr>
        <w:tabs>
          <w:tab w:val="num" w:pos="1080"/>
        </w:tabs>
        <w:ind w:left="1440" w:hanging="360"/>
      </w:pPr>
      <w:rPr>
        <w:rFonts w:ascii="Wingdings" w:hAnsi="Wingdings" w:hint="default"/>
      </w:rPr>
    </w:lvl>
    <w:lvl w:ilvl="3">
      <w:start w:val="1"/>
      <w:numFmt w:val="bullet"/>
      <w:pStyle w:val="BulletOutline4"/>
      <w:lvlText w:val=""/>
      <w:lvlJc w:val="left"/>
      <w:pPr>
        <w:tabs>
          <w:tab w:val="num" w:pos="1440"/>
        </w:tabs>
        <w:ind w:left="1800" w:hanging="360"/>
      </w:pPr>
      <w:rPr>
        <w:rFonts w:ascii="Wingdings" w:hAnsi="Wingdings" w:hint="default"/>
      </w:rPr>
    </w:lvl>
    <w:lvl w:ilvl="4">
      <w:start w:val="1"/>
      <w:numFmt w:val="bullet"/>
      <w:pStyle w:val="BulletOutline5"/>
      <w:lvlText w:val=""/>
      <w:lvlJc w:val="left"/>
      <w:pPr>
        <w:tabs>
          <w:tab w:val="num" w:pos="1800"/>
        </w:tabs>
        <w:ind w:left="2160" w:hanging="360"/>
      </w:pPr>
      <w:rPr>
        <w:rFonts w:ascii="Wingdings" w:hAnsi="Wingdings" w:hint="default"/>
      </w:rPr>
    </w:lvl>
    <w:lvl w:ilvl="5">
      <w:start w:val="1"/>
      <w:numFmt w:val="bullet"/>
      <w:pStyle w:val="BulletOutline6"/>
      <w:lvlText w:val=""/>
      <w:lvlJc w:val="left"/>
      <w:pPr>
        <w:tabs>
          <w:tab w:val="num" w:pos="2160"/>
        </w:tabs>
        <w:ind w:left="2520" w:hanging="360"/>
      </w:pPr>
      <w:rPr>
        <w:rFonts w:ascii="Symbol" w:hAnsi="Symbol" w:hint="default"/>
      </w:rPr>
    </w:lvl>
    <w:lvl w:ilvl="6">
      <w:start w:val="1"/>
      <w:numFmt w:val="bullet"/>
      <w:pStyle w:val="BulletOutline7"/>
      <w:lvlText w:val=""/>
      <w:lvlJc w:val="left"/>
      <w:pPr>
        <w:tabs>
          <w:tab w:val="num" w:pos="2520"/>
        </w:tabs>
        <w:ind w:left="2880" w:hanging="360"/>
      </w:pPr>
      <w:rPr>
        <w:rFonts w:ascii="Symbol" w:hAnsi="Symbol" w:hint="default"/>
      </w:rPr>
    </w:lvl>
    <w:lvl w:ilvl="7">
      <w:start w:val="1"/>
      <w:numFmt w:val="bullet"/>
      <w:pStyle w:val="BulletOutline8"/>
      <w:lvlText w:val=""/>
      <w:lvlJc w:val="left"/>
      <w:pPr>
        <w:tabs>
          <w:tab w:val="num" w:pos="2880"/>
        </w:tabs>
        <w:ind w:left="3240" w:hanging="360"/>
      </w:pPr>
      <w:rPr>
        <w:rFonts w:ascii="Symbol" w:hAnsi="Symbol" w:hint="default"/>
      </w:rPr>
    </w:lvl>
    <w:lvl w:ilvl="8">
      <w:start w:val="1"/>
      <w:numFmt w:val="bullet"/>
      <w:lvlText w:val=""/>
      <w:lvlJc w:val="left"/>
      <w:pPr>
        <w:tabs>
          <w:tab w:val="num" w:pos="3240"/>
        </w:tabs>
        <w:ind w:left="3600" w:hanging="360"/>
      </w:pPr>
      <w:rPr>
        <w:rFonts w:ascii="Wingdings 3" w:hAnsi="Wingdings 3" w:hint="default"/>
      </w:rPr>
    </w:lvl>
  </w:abstractNum>
  <w:abstractNum w:abstractNumId="14" w15:restartNumberingAfterBreak="0">
    <w:nsid w:val="291250E8"/>
    <w:multiLevelType w:val="multilevel"/>
    <w:tmpl w:val="BFE2B514"/>
    <w:numStyleLink w:val="ICFJSListBullet"/>
  </w:abstractNum>
  <w:abstractNum w:abstractNumId="15" w15:restartNumberingAfterBreak="0">
    <w:nsid w:val="29317B1A"/>
    <w:multiLevelType w:val="multilevel"/>
    <w:tmpl w:val="704C7138"/>
    <w:lvl w:ilvl="0">
      <w:start w:val="1"/>
      <w:numFmt w:val="none"/>
      <w:suff w:val="nothing"/>
      <w:lvlText w:val=""/>
      <w:lvlJc w:val="left"/>
      <w:pPr>
        <w:ind w:left="0" w:firstLine="0"/>
      </w:pPr>
      <w:rPr>
        <w:rFonts w:ascii="Arial" w:hAnsi="Arial" w:hint="default"/>
        <w:b w:val="0"/>
        <w:i w:val="0"/>
        <w:sz w:val="22"/>
      </w:rPr>
    </w:lvl>
    <w:lvl w:ilvl="1">
      <w:start w:val="1"/>
      <w:numFmt w:val="upperLetter"/>
      <w:pStyle w:val="NumberingOutline1"/>
      <w:lvlText w:val="%2."/>
      <w:lvlJc w:val="left"/>
      <w:pPr>
        <w:ind w:left="360" w:hanging="360"/>
      </w:pPr>
      <w:rPr>
        <w:rFonts w:hint="default"/>
        <w:b w:val="0"/>
        <w:i w:val="0"/>
        <w:sz w:val="22"/>
      </w:rPr>
    </w:lvl>
    <w:lvl w:ilvl="2">
      <w:start w:val="1"/>
      <w:numFmt w:val="lowerLetter"/>
      <w:pStyle w:val="NumberingOutline2"/>
      <w:lvlText w:val="%3."/>
      <w:lvlJc w:val="left"/>
      <w:pPr>
        <w:ind w:left="720" w:hanging="360"/>
      </w:pPr>
      <w:rPr>
        <w:rFonts w:ascii="Calibri" w:hAnsi="Calibri" w:cs="Calibri" w:hint="default"/>
        <w:b w:val="0"/>
        <w:i w:val="0"/>
        <w:sz w:val="22"/>
      </w:rPr>
    </w:lvl>
    <w:lvl w:ilvl="3">
      <w:start w:val="1"/>
      <w:numFmt w:val="decimal"/>
      <w:pStyle w:val="NumberingOutline3"/>
      <w:lvlText w:val="%4)"/>
      <w:lvlJc w:val="left"/>
      <w:pPr>
        <w:ind w:left="1080" w:hanging="360"/>
      </w:pPr>
      <w:rPr>
        <w:rFonts w:ascii="Calibri" w:hAnsi="Calibri" w:cs="Calibri" w:hint="default"/>
        <w:b w:val="0"/>
        <w:i w:val="0"/>
        <w:sz w:val="22"/>
      </w:rPr>
    </w:lvl>
    <w:lvl w:ilvl="4">
      <w:start w:val="1"/>
      <w:numFmt w:val="lowerLetter"/>
      <w:pStyle w:val="NumberingOutline4"/>
      <w:lvlText w:val="%5)"/>
      <w:lvlJc w:val="left"/>
      <w:pPr>
        <w:ind w:left="1440" w:hanging="360"/>
      </w:pPr>
      <w:rPr>
        <w:rFonts w:ascii="Arial" w:hAnsi="Arial" w:hint="default"/>
        <w:b w:val="0"/>
        <w:i w:val="0"/>
        <w:sz w:val="22"/>
      </w:rPr>
    </w:lvl>
    <w:lvl w:ilvl="5">
      <w:start w:val="1"/>
      <w:numFmt w:val="decimal"/>
      <w:pStyle w:val="NumberingOutline5"/>
      <w:lvlText w:val="(%6)"/>
      <w:lvlJc w:val="left"/>
      <w:pPr>
        <w:ind w:left="1800" w:hanging="360"/>
      </w:pPr>
      <w:rPr>
        <w:rFonts w:ascii="Arial" w:hAnsi="Arial" w:hint="default"/>
        <w:b w:val="0"/>
        <w:i w:val="0"/>
        <w:sz w:val="22"/>
      </w:rPr>
    </w:lvl>
    <w:lvl w:ilvl="6">
      <w:start w:val="1"/>
      <w:numFmt w:val="lowerLetter"/>
      <w:pStyle w:val="NumberingOutline6"/>
      <w:lvlText w:val="(%7)"/>
      <w:lvlJc w:val="left"/>
      <w:pPr>
        <w:ind w:left="2160" w:hanging="360"/>
      </w:pPr>
      <w:rPr>
        <w:rFonts w:ascii="Arial" w:hAnsi="Arial" w:hint="default"/>
        <w:b w:val="0"/>
        <w:i w:val="0"/>
        <w:sz w:val="22"/>
      </w:rPr>
    </w:lvl>
    <w:lvl w:ilvl="7">
      <w:start w:val="1"/>
      <w:numFmt w:val="bullet"/>
      <w:pStyle w:val="NumberingOutline7"/>
      <w:lvlText w:val=""/>
      <w:lvlJc w:val="left"/>
      <w:pPr>
        <w:ind w:left="2520" w:hanging="360"/>
      </w:pPr>
      <w:rPr>
        <w:rFonts w:ascii="Symbol" w:hAnsi="Symbol" w:hint="default"/>
        <w:b w:val="0"/>
        <w:i w:val="0"/>
        <w:color w:val="auto"/>
        <w:sz w:val="22"/>
      </w:rPr>
    </w:lvl>
    <w:lvl w:ilvl="8">
      <w:start w:val="1"/>
      <w:numFmt w:val="bullet"/>
      <w:pStyle w:val="NumberingOutline8"/>
      <w:lvlText w:val=""/>
      <w:lvlJc w:val="left"/>
      <w:pPr>
        <w:ind w:left="2880" w:hanging="360"/>
      </w:pPr>
      <w:rPr>
        <w:rFonts w:ascii="Symbol" w:hAnsi="Symbol" w:hint="default"/>
        <w:color w:val="auto"/>
        <w:sz w:val="16"/>
      </w:rPr>
    </w:lvl>
  </w:abstractNum>
  <w:abstractNum w:abstractNumId="16" w15:restartNumberingAfterBreak="0">
    <w:nsid w:val="40E850F1"/>
    <w:multiLevelType w:val="multilevel"/>
    <w:tmpl w:val="7578E3FA"/>
    <w:lvl w:ilvl="0">
      <w:start w:val="1"/>
      <w:numFmt w:val="decimal"/>
      <w:pStyle w:val="Heading1"/>
      <w:lvlText w:val="%1.0"/>
      <w:lvlJc w:val="left"/>
      <w:pPr>
        <w:ind w:left="432" w:hanging="432"/>
      </w:pPr>
      <w:rPr>
        <w:rFonts w:hint="default"/>
        <w:b/>
        <w:bCs/>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559F0406"/>
    <w:multiLevelType w:val="multilevel"/>
    <w:tmpl w:val="F80CAE12"/>
    <w:styleLink w:val="ICFJSListNumber"/>
    <w:lvl w:ilvl="0">
      <w:start w:val="1"/>
      <w:numFmt w:val="decimal"/>
      <w:pStyle w:val="ListNumber"/>
      <w:lvlText w:val="%1."/>
      <w:lvlJc w:val="left"/>
      <w:pPr>
        <w:tabs>
          <w:tab w:val="num" w:pos="720"/>
        </w:tabs>
        <w:ind w:left="720" w:hanging="360"/>
      </w:pPr>
      <w:rPr>
        <w:rFonts w:asciiTheme="minorHAnsi" w:hAnsiTheme="minorHAnsi"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080"/>
        </w:tabs>
        <w:ind w:left="1080" w:hanging="360"/>
      </w:pPr>
      <w:rPr>
        <w:rFonts w:asciiTheme="minorHAnsi" w:hAnsiTheme="minorHAnsi"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Number3"/>
      <w:lvlText w:val="%3)"/>
      <w:lvlJc w:val="left"/>
      <w:pPr>
        <w:tabs>
          <w:tab w:val="num" w:pos="1440"/>
        </w:tabs>
        <w:ind w:left="1440" w:hanging="360"/>
      </w:pPr>
      <w:rPr>
        <w:rFonts w:asciiTheme="minorHAnsi" w:hAnsiTheme="minorHAnsi"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istNumber4"/>
      <w:lvlText w:val="%4)"/>
      <w:lvlJc w:val="left"/>
      <w:pPr>
        <w:tabs>
          <w:tab w:val="num" w:pos="1800"/>
        </w:tabs>
        <w:ind w:left="1800" w:hanging="360"/>
      </w:pPr>
      <w:rPr>
        <w:rFonts w:asciiTheme="minorHAnsi" w:hAnsiTheme="minorHAnsi"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istNumber5"/>
      <w:lvlText w:val="%5."/>
      <w:lvlJc w:val="left"/>
      <w:pPr>
        <w:tabs>
          <w:tab w:val="num" w:pos="2160"/>
        </w:tabs>
        <w:ind w:left="2160" w:hanging="360"/>
      </w:pPr>
      <w:rPr>
        <w:rFonts w:asciiTheme="minorHAnsi" w:hAnsiTheme="minorHAnsi"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520"/>
        </w:tabs>
        <w:ind w:left="2520" w:hanging="360"/>
      </w:pPr>
      <w:rPr>
        <w:rFonts w:asciiTheme="minorHAnsi" w:hAnsiTheme="minorHAnsi"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880"/>
        </w:tabs>
        <w:ind w:left="2880" w:hanging="360"/>
      </w:pPr>
      <w:rPr>
        <w:rFonts w:asciiTheme="minorHAnsi" w:hAnsiTheme="minorHAnsi"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240"/>
        </w:tabs>
        <w:ind w:left="3240" w:hanging="360"/>
      </w:pPr>
      <w:rPr>
        <w:rFonts w:asciiTheme="minorHAnsi" w:hAnsiTheme="minorHAnsi" w:hint="default"/>
        <w:b w:val="0"/>
        <w:i w:val="0"/>
        <w:caps w:val="0"/>
        <w:strike w:val="0"/>
        <w:dstrike w:val="0"/>
        <w:vanish w:val="0"/>
        <w:color w:val="auto"/>
        <w:spacing w:val="0"/>
        <w:w w:val="100"/>
        <w:kern w:val="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600"/>
        </w:tabs>
        <w:ind w:left="3600" w:hanging="360"/>
      </w:pPr>
      <w:rPr>
        <w:rFonts w:asciiTheme="minorHAnsi" w:hAnsiTheme="minorHAnsi" w:hint="default"/>
        <w:b w:val="0"/>
        <w:i w:val="0"/>
        <w:caps w:val="0"/>
        <w:strike w:val="0"/>
        <w:dstrike w:val="0"/>
        <w:vanish w:val="0"/>
        <w:color w:val="auto"/>
        <w:spacing w:val="0"/>
        <w:w w:val="100"/>
        <w:kern w:val="0"/>
        <w:position w:val="0"/>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20C1528"/>
    <w:multiLevelType w:val="hybridMultilevel"/>
    <w:tmpl w:val="8A44B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62224"/>
    <w:multiLevelType w:val="multilevel"/>
    <w:tmpl w:val="EC923AA6"/>
    <w:lvl w:ilvl="0">
      <w:start w:val="1"/>
      <w:numFmt w:val="none"/>
      <w:suff w:val="nothing"/>
      <w:lvlText w:val=""/>
      <w:lvlJc w:val="left"/>
      <w:pPr>
        <w:ind w:left="0" w:firstLine="0"/>
      </w:pPr>
      <w:rPr>
        <w:rFonts w:ascii="Arial" w:hAnsi="Arial" w:hint="default"/>
        <w:b w:val="0"/>
        <w:i w:val="0"/>
        <w:sz w:val="22"/>
      </w:rPr>
    </w:lvl>
    <w:lvl w:ilvl="1">
      <w:start w:val="1"/>
      <w:numFmt w:val="upperLetter"/>
      <w:lvlText w:val="%2."/>
      <w:lvlJc w:val="left"/>
      <w:pPr>
        <w:ind w:left="360" w:hanging="360"/>
      </w:pPr>
      <w:rPr>
        <w:rFonts w:hint="default"/>
        <w:b w:val="0"/>
        <w:i w:val="0"/>
        <w:sz w:val="22"/>
      </w:rPr>
    </w:lvl>
    <w:lvl w:ilvl="2">
      <w:start w:val="1"/>
      <w:numFmt w:val="lowerLetter"/>
      <w:lvlText w:val="%3."/>
      <w:lvlJc w:val="left"/>
      <w:pPr>
        <w:ind w:left="720" w:hanging="360"/>
      </w:pPr>
      <w:rPr>
        <w:rFonts w:ascii="Calibri" w:hAnsi="Calibri" w:cs="Calibri" w:hint="default"/>
        <w:b w:val="0"/>
        <w:i w:val="0"/>
        <w:sz w:val="22"/>
      </w:rPr>
    </w:lvl>
    <w:lvl w:ilvl="3">
      <w:start w:val="1"/>
      <w:numFmt w:val="decimal"/>
      <w:lvlText w:val="%4)"/>
      <w:lvlJc w:val="left"/>
      <w:pPr>
        <w:ind w:left="1080" w:hanging="360"/>
      </w:pPr>
      <w:rPr>
        <w:rFonts w:ascii="Calibri" w:hAnsi="Calibri" w:cs="Calibri" w:hint="default"/>
        <w:b w:val="0"/>
        <w:i w:val="0"/>
        <w:sz w:val="22"/>
      </w:rPr>
    </w:lvl>
    <w:lvl w:ilvl="4">
      <w:start w:val="1"/>
      <w:numFmt w:val="lowerLetter"/>
      <w:lvlText w:val="%5)"/>
      <w:lvlJc w:val="left"/>
      <w:pPr>
        <w:ind w:left="1440" w:hanging="360"/>
      </w:pPr>
      <w:rPr>
        <w:rFonts w:ascii="Arial" w:hAnsi="Arial" w:hint="default"/>
        <w:b w:val="0"/>
        <w:i w:val="0"/>
        <w:sz w:val="22"/>
      </w:rPr>
    </w:lvl>
    <w:lvl w:ilvl="5">
      <w:start w:val="1"/>
      <w:numFmt w:val="decimal"/>
      <w:lvlText w:val="(%6)"/>
      <w:lvlJc w:val="left"/>
      <w:pPr>
        <w:ind w:left="1800" w:hanging="360"/>
      </w:pPr>
      <w:rPr>
        <w:rFonts w:ascii="Arial" w:hAnsi="Arial" w:hint="default"/>
        <w:b w:val="0"/>
        <w:i w:val="0"/>
        <w:sz w:val="22"/>
      </w:rPr>
    </w:lvl>
    <w:lvl w:ilvl="6">
      <w:start w:val="1"/>
      <w:numFmt w:val="lowerLetter"/>
      <w:lvlText w:val="(%7)"/>
      <w:lvlJc w:val="left"/>
      <w:pPr>
        <w:ind w:left="2160" w:hanging="360"/>
      </w:pPr>
      <w:rPr>
        <w:rFonts w:ascii="Arial" w:hAnsi="Arial" w:hint="default"/>
        <w:b w:val="0"/>
        <w:i w:val="0"/>
        <w:sz w:val="22"/>
      </w:rPr>
    </w:lvl>
    <w:lvl w:ilvl="7">
      <w:start w:val="1"/>
      <w:numFmt w:val="bullet"/>
      <w:lvlText w:val=""/>
      <w:lvlJc w:val="left"/>
      <w:pPr>
        <w:ind w:left="2520" w:hanging="360"/>
      </w:pPr>
      <w:rPr>
        <w:rFonts w:ascii="Symbol" w:hAnsi="Symbol" w:hint="default"/>
        <w:b w:val="0"/>
        <w:i w:val="0"/>
        <w:color w:val="auto"/>
        <w:sz w:val="22"/>
      </w:rPr>
    </w:lvl>
    <w:lvl w:ilvl="8">
      <w:start w:val="1"/>
      <w:numFmt w:val="bullet"/>
      <w:lvlText w:val=""/>
      <w:lvlJc w:val="left"/>
      <w:pPr>
        <w:ind w:left="2880" w:hanging="360"/>
      </w:pPr>
      <w:rPr>
        <w:rFonts w:ascii="Symbol" w:hAnsi="Symbol" w:hint="default"/>
        <w:color w:val="auto"/>
        <w:sz w:val="16"/>
      </w:rPr>
    </w:lvl>
  </w:abstractNum>
  <w:abstractNum w:abstractNumId="20" w15:restartNumberingAfterBreak="0">
    <w:nsid w:val="7D806D93"/>
    <w:multiLevelType w:val="hybridMultilevel"/>
    <w:tmpl w:val="D6A406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6"/>
  </w:num>
  <w:num w:numId="4">
    <w:abstractNumId w:val="13"/>
  </w:num>
  <w:num w:numId="5">
    <w:abstractNumId w:val="15"/>
  </w:num>
  <w:num w:numId="6">
    <w:abstractNumId w:val="16"/>
  </w:num>
  <w:num w:numId="7">
    <w:abstractNumId w:val="1"/>
  </w:num>
  <w:num w:numId="8">
    <w:abstractNumId w:val="11"/>
  </w:num>
  <w:num w:numId="9">
    <w:abstractNumId w:val="2"/>
  </w:num>
  <w:num w:numId="10">
    <w:abstractNumId w:val="14"/>
  </w:num>
  <w:num w:numId="11">
    <w:abstractNumId w:val="15"/>
  </w:num>
  <w:num w:numId="12">
    <w:abstractNumId w:val="17"/>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5"/>
  </w:num>
  <w:num w:numId="23">
    <w:abstractNumId w:val="8"/>
  </w:num>
  <w:num w:numId="24">
    <w:abstractNumId w:val="10"/>
  </w:num>
  <w:num w:numId="25">
    <w:abstractNumId w:val="0"/>
  </w:num>
  <w:num w:numId="26">
    <w:abstractNumId w:val="9"/>
  </w:num>
  <w:num w:numId="27">
    <w:abstractNumId w:val="20"/>
  </w:num>
  <w:num w:numId="28">
    <w:abstractNumId w:val="3"/>
  </w:num>
  <w:num w:numId="29">
    <w:abstractNumId w:val="1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6E5"/>
    <w:rsid w:val="00006D2D"/>
    <w:rsid w:val="00011EC4"/>
    <w:rsid w:val="00014A6B"/>
    <w:rsid w:val="00014B21"/>
    <w:rsid w:val="00016D9C"/>
    <w:rsid w:val="00024AAF"/>
    <w:rsid w:val="00024C43"/>
    <w:rsid w:val="00026D34"/>
    <w:rsid w:val="000276C9"/>
    <w:rsid w:val="00030B66"/>
    <w:rsid w:val="000317E4"/>
    <w:rsid w:val="0003287D"/>
    <w:rsid w:val="00033E3D"/>
    <w:rsid w:val="00034F66"/>
    <w:rsid w:val="00037779"/>
    <w:rsid w:val="000422A0"/>
    <w:rsid w:val="00045C90"/>
    <w:rsid w:val="00050C42"/>
    <w:rsid w:val="0005479C"/>
    <w:rsid w:val="00054F48"/>
    <w:rsid w:val="00061BC1"/>
    <w:rsid w:val="00063A4B"/>
    <w:rsid w:val="000651C1"/>
    <w:rsid w:val="00065F19"/>
    <w:rsid w:val="00066636"/>
    <w:rsid w:val="0006693B"/>
    <w:rsid w:val="00067F83"/>
    <w:rsid w:val="000726FD"/>
    <w:rsid w:val="0007359D"/>
    <w:rsid w:val="00081D7E"/>
    <w:rsid w:val="000836F6"/>
    <w:rsid w:val="00084D8E"/>
    <w:rsid w:val="00085486"/>
    <w:rsid w:val="00087891"/>
    <w:rsid w:val="00087ADE"/>
    <w:rsid w:val="000904E6"/>
    <w:rsid w:val="00090CBE"/>
    <w:rsid w:val="00091460"/>
    <w:rsid w:val="0009421E"/>
    <w:rsid w:val="000956E5"/>
    <w:rsid w:val="00095C20"/>
    <w:rsid w:val="000A2578"/>
    <w:rsid w:val="000A7DDC"/>
    <w:rsid w:val="000B29E5"/>
    <w:rsid w:val="000B6C8C"/>
    <w:rsid w:val="000C0822"/>
    <w:rsid w:val="000C3942"/>
    <w:rsid w:val="000C6087"/>
    <w:rsid w:val="000C6AB2"/>
    <w:rsid w:val="000D0444"/>
    <w:rsid w:val="000D10E8"/>
    <w:rsid w:val="000D1F98"/>
    <w:rsid w:val="000D5BDD"/>
    <w:rsid w:val="000D7C6F"/>
    <w:rsid w:val="000F1497"/>
    <w:rsid w:val="000F33AB"/>
    <w:rsid w:val="000F4961"/>
    <w:rsid w:val="001001DD"/>
    <w:rsid w:val="001019BC"/>
    <w:rsid w:val="00101E3B"/>
    <w:rsid w:val="001039A5"/>
    <w:rsid w:val="00103CB4"/>
    <w:rsid w:val="00104DEA"/>
    <w:rsid w:val="00105304"/>
    <w:rsid w:val="0010582A"/>
    <w:rsid w:val="00106333"/>
    <w:rsid w:val="00106E6D"/>
    <w:rsid w:val="00111568"/>
    <w:rsid w:val="00116EA2"/>
    <w:rsid w:val="00117AC7"/>
    <w:rsid w:val="001205BB"/>
    <w:rsid w:val="00123EBD"/>
    <w:rsid w:val="00125BFF"/>
    <w:rsid w:val="00125E90"/>
    <w:rsid w:val="001275B8"/>
    <w:rsid w:val="00134EA1"/>
    <w:rsid w:val="00135926"/>
    <w:rsid w:val="001421E1"/>
    <w:rsid w:val="00143220"/>
    <w:rsid w:val="00143BBE"/>
    <w:rsid w:val="00150ED5"/>
    <w:rsid w:val="00153152"/>
    <w:rsid w:val="00154A84"/>
    <w:rsid w:val="001562C4"/>
    <w:rsid w:val="001579B7"/>
    <w:rsid w:val="001629FE"/>
    <w:rsid w:val="00162D2B"/>
    <w:rsid w:val="0016537E"/>
    <w:rsid w:val="00173062"/>
    <w:rsid w:val="00174919"/>
    <w:rsid w:val="00183911"/>
    <w:rsid w:val="00184FC4"/>
    <w:rsid w:val="0018656B"/>
    <w:rsid w:val="00191232"/>
    <w:rsid w:val="00192A11"/>
    <w:rsid w:val="00192E79"/>
    <w:rsid w:val="0019402C"/>
    <w:rsid w:val="00196AAF"/>
    <w:rsid w:val="00196C76"/>
    <w:rsid w:val="00197CF5"/>
    <w:rsid w:val="00197F4B"/>
    <w:rsid w:val="001A19AB"/>
    <w:rsid w:val="001A7B3E"/>
    <w:rsid w:val="001B142C"/>
    <w:rsid w:val="001B34F3"/>
    <w:rsid w:val="001B5CDE"/>
    <w:rsid w:val="001B612B"/>
    <w:rsid w:val="001C0587"/>
    <w:rsid w:val="001C0BA8"/>
    <w:rsid w:val="001C124F"/>
    <w:rsid w:val="001C585C"/>
    <w:rsid w:val="001D20FF"/>
    <w:rsid w:val="001D26FB"/>
    <w:rsid w:val="001D3C6B"/>
    <w:rsid w:val="001D3D51"/>
    <w:rsid w:val="001E03D2"/>
    <w:rsid w:val="001E1099"/>
    <w:rsid w:val="001E1AB6"/>
    <w:rsid w:val="001E4777"/>
    <w:rsid w:val="001E6F29"/>
    <w:rsid w:val="001F1C15"/>
    <w:rsid w:val="001F1FC5"/>
    <w:rsid w:val="001F4458"/>
    <w:rsid w:val="001F5F08"/>
    <w:rsid w:val="002005F1"/>
    <w:rsid w:val="00203A36"/>
    <w:rsid w:val="002043E5"/>
    <w:rsid w:val="00207CB9"/>
    <w:rsid w:val="0021185A"/>
    <w:rsid w:val="002203B7"/>
    <w:rsid w:val="002224E7"/>
    <w:rsid w:val="00225794"/>
    <w:rsid w:val="0023102A"/>
    <w:rsid w:val="002328E4"/>
    <w:rsid w:val="002356BB"/>
    <w:rsid w:val="00241963"/>
    <w:rsid w:val="0024285B"/>
    <w:rsid w:val="00243D78"/>
    <w:rsid w:val="00244707"/>
    <w:rsid w:val="00250220"/>
    <w:rsid w:val="00251936"/>
    <w:rsid w:val="002543A2"/>
    <w:rsid w:val="00257722"/>
    <w:rsid w:val="00265204"/>
    <w:rsid w:val="00265AFD"/>
    <w:rsid w:val="00273F98"/>
    <w:rsid w:val="00274D00"/>
    <w:rsid w:val="0027596D"/>
    <w:rsid w:val="002765CA"/>
    <w:rsid w:val="002842A2"/>
    <w:rsid w:val="00286924"/>
    <w:rsid w:val="00286CCD"/>
    <w:rsid w:val="00290DF0"/>
    <w:rsid w:val="00292321"/>
    <w:rsid w:val="00293313"/>
    <w:rsid w:val="002A0826"/>
    <w:rsid w:val="002A09FD"/>
    <w:rsid w:val="002A128D"/>
    <w:rsid w:val="002A1CBB"/>
    <w:rsid w:val="002A456C"/>
    <w:rsid w:val="002A4B66"/>
    <w:rsid w:val="002B060B"/>
    <w:rsid w:val="002B1AB9"/>
    <w:rsid w:val="002C18BF"/>
    <w:rsid w:val="002C40CD"/>
    <w:rsid w:val="002C4D5A"/>
    <w:rsid w:val="002C72D8"/>
    <w:rsid w:val="002D1FBE"/>
    <w:rsid w:val="002D650C"/>
    <w:rsid w:val="002E37AD"/>
    <w:rsid w:val="002E6FCA"/>
    <w:rsid w:val="00301C86"/>
    <w:rsid w:val="003029C4"/>
    <w:rsid w:val="00304E8D"/>
    <w:rsid w:val="0031372B"/>
    <w:rsid w:val="00316010"/>
    <w:rsid w:val="00322164"/>
    <w:rsid w:val="00323DDB"/>
    <w:rsid w:val="00326F34"/>
    <w:rsid w:val="0033328D"/>
    <w:rsid w:val="0033490C"/>
    <w:rsid w:val="003370DD"/>
    <w:rsid w:val="00340972"/>
    <w:rsid w:val="003417CE"/>
    <w:rsid w:val="0034441D"/>
    <w:rsid w:val="00347A50"/>
    <w:rsid w:val="00347ED5"/>
    <w:rsid w:val="00350968"/>
    <w:rsid w:val="00351F83"/>
    <w:rsid w:val="003529CC"/>
    <w:rsid w:val="0035592F"/>
    <w:rsid w:val="003559AB"/>
    <w:rsid w:val="00360BBD"/>
    <w:rsid w:val="003633E4"/>
    <w:rsid w:val="003703B5"/>
    <w:rsid w:val="00373D65"/>
    <w:rsid w:val="00374EFE"/>
    <w:rsid w:val="0037502F"/>
    <w:rsid w:val="00380780"/>
    <w:rsid w:val="00380F49"/>
    <w:rsid w:val="00384BA8"/>
    <w:rsid w:val="00384E59"/>
    <w:rsid w:val="00396FBA"/>
    <w:rsid w:val="003A1568"/>
    <w:rsid w:val="003A2AF3"/>
    <w:rsid w:val="003A672D"/>
    <w:rsid w:val="003B02AA"/>
    <w:rsid w:val="003B11C9"/>
    <w:rsid w:val="003B2912"/>
    <w:rsid w:val="003B5793"/>
    <w:rsid w:val="003C656C"/>
    <w:rsid w:val="003D10B9"/>
    <w:rsid w:val="003D2339"/>
    <w:rsid w:val="003E08CE"/>
    <w:rsid w:val="003E0937"/>
    <w:rsid w:val="003E32DC"/>
    <w:rsid w:val="003E6511"/>
    <w:rsid w:val="003F2AA8"/>
    <w:rsid w:val="003F5197"/>
    <w:rsid w:val="003F6D10"/>
    <w:rsid w:val="003F7A2D"/>
    <w:rsid w:val="004008FB"/>
    <w:rsid w:val="00401761"/>
    <w:rsid w:val="00405298"/>
    <w:rsid w:val="00412F05"/>
    <w:rsid w:val="0041455E"/>
    <w:rsid w:val="00415D2B"/>
    <w:rsid w:val="0041622D"/>
    <w:rsid w:val="00423DB2"/>
    <w:rsid w:val="00424FC9"/>
    <w:rsid w:val="004302A4"/>
    <w:rsid w:val="004315B2"/>
    <w:rsid w:val="00432057"/>
    <w:rsid w:val="00434A88"/>
    <w:rsid w:val="00436FD2"/>
    <w:rsid w:val="004409AD"/>
    <w:rsid w:val="00440BD0"/>
    <w:rsid w:val="0044636F"/>
    <w:rsid w:val="00446C72"/>
    <w:rsid w:val="00453A81"/>
    <w:rsid w:val="00463C09"/>
    <w:rsid w:val="00470C0C"/>
    <w:rsid w:val="00474FB8"/>
    <w:rsid w:val="00475EFE"/>
    <w:rsid w:val="00476A15"/>
    <w:rsid w:val="004879BA"/>
    <w:rsid w:val="004947E0"/>
    <w:rsid w:val="004A34D7"/>
    <w:rsid w:val="004A39C8"/>
    <w:rsid w:val="004A3ADF"/>
    <w:rsid w:val="004B187C"/>
    <w:rsid w:val="004B3184"/>
    <w:rsid w:val="004B5DB6"/>
    <w:rsid w:val="004B70C4"/>
    <w:rsid w:val="004C09B5"/>
    <w:rsid w:val="004C1E53"/>
    <w:rsid w:val="004C5349"/>
    <w:rsid w:val="004C5A8A"/>
    <w:rsid w:val="004C63EF"/>
    <w:rsid w:val="004C6FE5"/>
    <w:rsid w:val="004D59B4"/>
    <w:rsid w:val="004D5FD0"/>
    <w:rsid w:val="004E0309"/>
    <w:rsid w:val="004E51EC"/>
    <w:rsid w:val="004F1CC1"/>
    <w:rsid w:val="004F2F13"/>
    <w:rsid w:val="004F79E1"/>
    <w:rsid w:val="0050384C"/>
    <w:rsid w:val="00507051"/>
    <w:rsid w:val="0050782F"/>
    <w:rsid w:val="00510CB3"/>
    <w:rsid w:val="00515A71"/>
    <w:rsid w:val="00517E4D"/>
    <w:rsid w:val="005263D8"/>
    <w:rsid w:val="00526F56"/>
    <w:rsid w:val="00531FA6"/>
    <w:rsid w:val="00534BD5"/>
    <w:rsid w:val="00535B0D"/>
    <w:rsid w:val="005360EE"/>
    <w:rsid w:val="00537BFC"/>
    <w:rsid w:val="00543A68"/>
    <w:rsid w:val="005461CB"/>
    <w:rsid w:val="00546622"/>
    <w:rsid w:val="005524EA"/>
    <w:rsid w:val="00552A26"/>
    <w:rsid w:val="00562915"/>
    <w:rsid w:val="00562F34"/>
    <w:rsid w:val="00565167"/>
    <w:rsid w:val="00566A64"/>
    <w:rsid w:val="00566D4A"/>
    <w:rsid w:val="00567236"/>
    <w:rsid w:val="00567F1E"/>
    <w:rsid w:val="0057336D"/>
    <w:rsid w:val="0057405E"/>
    <w:rsid w:val="00584578"/>
    <w:rsid w:val="00590926"/>
    <w:rsid w:val="005977BF"/>
    <w:rsid w:val="005A0189"/>
    <w:rsid w:val="005B0C13"/>
    <w:rsid w:val="005B2755"/>
    <w:rsid w:val="005B330F"/>
    <w:rsid w:val="005B3D1F"/>
    <w:rsid w:val="005B5976"/>
    <w:rsid w:val="005B772B"/>
    <w:rsid w:val="005C2FE4"/>
    <w:rsid w:val="005C4C49"/>
    <w:rsid w:val="005C664E"/>
    <w:rsid w:val="005D1621"/>
    <w:rsid w:val="005D5000"/>
    <w:rsid w:val="005E16B3"/>
    <w:rsid w:val="005E601C"/>
    <w:rsid w:val="005F4770"/>
    <w:rsid w:val="005F52E0"/>
    <w:rsid w:val="005F6123"/>
    <w:rsid w:val="00604635"/>
    <w:rsid w:val="00606AA6"/>
    <w:rsid w:val="00610B1B"/>
    <w:rsid w:val="006117A8"/>
    <w:rsid w:val="006132CA"/>
    <w:rsid w:val="00613846"/>
    <w:rsid w:val="00613905"/>
    <w:rsid w:val="00614945"/>
    <w:rsid w:val="0061526B"/>
    <w:rsid w:val="00621A82"/>
    <w:rsid w:val="00621F7B"/>
    <w:rsid w:val="006225D0"/>
    <w:rsid w:val="006375F4"/>
    <w:rsid w:val="00640A3A"/>
    <w:rsid w:val="00641FBD"/>
    <w:rsid w:val="0064437B"/>
    <w:rsid w:val="00650449"/>
    <w:rsid w:val="00650B77"/>
    <w:rsid w:val="0065221E"/>
    <w:rsid w:val="00657C24"/>
    <w:rsid w:val="00662342"/>
    <w:rsid w:val="00662736"/>
    <w:rsid w:val="00663B61"/>
    <w:rsid w:val="0066569D"/>
    <w:rsid w:val="00666B14"/>
    <w:rsid w:val="00667C96"/>
    <w:rsid w:val="006714A8"/>
    <w:rsid w:val="006739B1"/>
    <w:rsid w:val="00677B6D"/>
    <w:rsid w:val="00685E63"/>
    <w:rsid w:val="00692F7C"/>
    <w:rsid w:val="00692FDF"/>
    <w:rsid w:val="006941F3"/>
    <w:rsid w:val="006944E6"/>
    <w:rsid w:val="006A0A8C"/>
    <w:rsid w:val="006A1172"/>
    <w:rsid w:val="006A11B0"/>
    <w:rsid w:val="006A1F80"/>
    <w:rsid w:val="006A652C"/>
    <w:rsid w:val="006A7B07"/>
    <w:rsid w:val="006B5618"/>
    <w:rsid w:val="006B71B6"/>
    <w:rsid w:val="006C2654"/>
    <w:rsid w:val="006C5E79"/>
    <w:rsid w:val="006D399A"/>
    <w:rsid w:val="006D65B6"/>
    <w:rsid w:val="006E3174"/>
    <w:rsid w:val="006E4BF1"/>
    <w:rsid w:val="006E5961"/>
    <w:rsid w:val="006E6677"/>
    <w:rsid w:val="006F0C86"/>
    <w:rsid w:val="006F294A"/>
    <w:rsid w:val="006F3B27"/>
    <w:rsid w:val="006F51C2"/>
    <w:rsid w:val="006F5A4E"/>
    <w:rsid w:val="006F7D2A"/>
    <w:rsid w:val="00704494"/>
    <w:rsid w:val="00707561"/>
    <w:rsid w:val="00710DF9"/>
    <w:rsid w:val="007124E0"/>
    <w:rsid w:val="007137B4"/>
    <w:rsid w:val="00716476"/>
    <w:rsid w:val="00721B78"/>
    <w:rsid w:val="00725031"/>
    <w:rsid w:val="007262D5"/>
    <w:rsid w:val="0073465A"/>
    <w:rsid w:val="0073537E"/>
    <w:rsid w:val="00735C37"/>
    <w:rsid w:val="00735F11"/>
    <w:rsid w:val="00740A26"/>
    <w:rsid w:val="00750C1C"/>
    <w:rsid w:val="00751D29"/>
    <w:rsid w:val="00753747"/>
    <w:rsid w:val="00755A01"/>
    <w:rsid w:val="007575A9"/>
    <w:rsid w:val="0076277F"/>
    <w:rsid w:val="00763236"/>
    <w:rsid w:val="007654F4"/>
    <w:rsid w:val="00784931"/>
    <w:rsid w:val="00784B28"/>
    <w:rsid w:val="00785FA0"/>
    <w:rsid w:val="007879A9"/>
    <w:rsid w:val="0079442A"/>
    <w:rsid w:val="00794EDD"/>
    <w:rsid w:val="007A0879"/>
    <w:rsid w:val="007A1FF5"/>
    <w:rsid w:val="007A257E"/>
    <w:rsid w:val="007A3DF1"/>
    <w:rsid w:val="007A51ED"/>
    <w:rsid w:val="007A6E7C"/>
    <w:rsid w:val="007B278F"/>
    <w:rsid w:val="007B42F7"/>
    <w:rsid w:val="007B677F"/>
    <w:rsid w:val="007C0B25"/>
    <w:rsid w:val="007C1389"/>
    <w:rsid w:val="007C4C4C"/>
    <w:rsid w:val="007C5873"/>
    <w:rsid w:val="007C5D19"/>
    <w:rsid w:val="007C73BE"/>
    <w:rsid w:val="007D0593"/>
    <w:rsid w:val="007D1C4D"/>
    <w:rsid w:val="007D1DF6"/>
    <w:rsid w:val="007D23FF"/>
    <w:rsid w:val="007D24C9"/>
    <w:rsid w:val="007D49FB"/>
    <w:rsid w:val="007D6E64"/>
    <w:rsid w:val="007E02EB"/>
    <w:rsid w:val="007E1793"/>
    <w:rsid w:val="007F29AE"/>
    <w:rsid w:val="007F4F80"/>
    <w:rsid w:val="007F662D"/>
    <w:rsid w:val="007F6964"/>
    <w:rsid w:val="008006DB"/>
    <w:rsid w:val="008019DA"/>
    <w:rsid w:val="00801C6C"/>
    <w:rsid w:val="0080239C"/>
    <w:rsid w:val="00803687"/>
    <w:rsid w:val="00805313"/>
    <w:rsid w:val="008056E2"/>
    <w:rsid w:val="0081554F"/>
    <w:rsid w:val="0081576E"/>
    <w:rsid w:val="008201C7"/>
    <w:rsid w:val="008221A4"/>
    <w:rsid w:val="00823DDD"/>
    <w:rsid w:val="00827480"/>
    <w:rsid w:val="00827821"/>
    <w:rsid w:val="008306C0"/>
    <w:rsid w:val="00832008"/>
    <w:rsid w:val="00832431"/>
    <w:rsid w:val="00833033"/>
    <w:rsid w:val="00834C58"/>
    <w:rsid w:val="008359EA"/>
    <w:rsid w:val="00840952"/>
    <w:rsid w:val="00840E35"/>
    <w:rsid w:val="008422BF"/>
    <w:rsid w:val="00854A79"/>
    <w:rsid w:val="008562E8"/>
    <w:rsid w:val="00862DCA"/>
    <w:rsid w:val="00866399"/>
    <w:rsid w:val="00867521"/>
    <w:rsid w:val="0086783C"/>
    <w:rsid w:val="0087289C"/>
    <w:rsid w:val="00877631"/>
    <w:rsid w:val="0087798C"/>
    <w:rsid w:val="00877B05"/>
    <w:rsid w:val="008810AF"/>
    <w:rsid w:val="00883869"/>
    <w:rsid w:val="00887CA6"/>
    <w:rsid w:val="008923FF"/>
    <w:rsid w:val="00895131"/>
    <w:rsid w:val="008A2431"/>
    <w:rsid w:val="008A2AC6"/>
    <w:rsid w:val="008A3E52"/>
    <w:rsid w:val="008A406B"/>
    <w:rsid w:val="008A4489"/>
    <w:rsid w:val="008A466D"/>
    <w:rsid w:val="008A5CF5"/>
    <w:rsid w:val="008A604C"/>
    <w:rsid w:val="008A6159"/>
    <w:rsid w:val="008A654E"/>
    <w:rsid w:val="008A72A3"/>
    <w:rsid w:val="008B44C4"/>
    <w:rsid w:val="008B6791"/>
    <w:rsid w:val="008C05CD"/>
    <w:rsid w:val="008C1D29"/>
    <w:rsid w:val="008C5A3E"/>
    <w:rsid w:val="008C657F"/>
    <w:rsid w:val="008C7515"/>
    <w:rsid w:val="008C7CE8"/>
    <w:rsid w:val="008D061B"/>
    <w:rsid w:val="008D406C"/>
    <w:rsid w:val="008E22BD"/>
    <w:rsid w:val="008E4754"/>
    <w:rsid w:val="008E4EF4"/>
    <w:rsid w:val="008E4FAC"/>
    <w:rsid w:val="008E6AD4"/>
    <w:rsid w:val="008F0D70"/>
    <w:rsid w:val="008F67CE"/>
    <w:rsid w:val="008F692C"/>
    <w:rsid w:val="00900FF9"/>
    <w:rsid w:val="00901E68"/>
    <w:rsid w:val="00902945"/>
    <w:rsid w:val="009041B1"/>
    <w:rsid w:val="00913A73"/>
    <w:rsid w:val="009170A1"/>
    <w:rsid w:val="009208AB"/>
    <w:rsid w:val="00923E2D"/>
    <w:rsid w:val="00924544"/>
    <w:rsid w:val="009255FA"/>
    <w:rsid w:val="00932190"/>
    <w:rsid w:val="0093596F"/>
    <w:rsid w:val="00936764"/>
    <w:rsid w:val="009400B0"/>
    <w:rsid w:val="0094692A"/>
    <w:rsid w:val="009532CF"/>
    <w:rsid w:val="00961C9B"/>
    <w:rsid w:val="00964386"/>
    <w:rsid w:val="009648E6"/>
    <w:rsid w:val="00973898"/>
    <w:rsid w:val="00974FC6"/>
    <w:rsid w:val="00975C57"/>
    <w:rsid w:val="00977C0D"/>
    <w:rsid w:val="009820AE"/>
    <w:rsid w:val="009871D8"/>
    <w:rsid w:val="0098780D"/>
    <w:rsid w:val="0099522A"/>
    <w:rsid w:val="00997B2E"/>
    <w:rsid w:val="009A0D5A"/>
    <w:rsid w:val="009A104F"/>
    <w:rsid w:val="009A550C"/>
    <w:rsid w:val="009B351C"/>
    <w:rsid w:val="009B40AC"/>
    <w:rsid w:val="009B4878"/>
    <w:rsid w:val="009B6436"/>
    <w:rsid w:val="009B6A63"/>
    <w:rsid w:val="009C38E6"/>
    <w:rsid w:val="009C4219"/>
    <w:rsid w:val="009C5D8A"/>
    <w:rsid w:val="009C7012"/>
    <w:rsid w:val="009D0B75"/>
    <w:rsid w:val="009D1D5F"/>
    <w:rsid w:val="009E0170"/>
    <w:rsid w:val="009E221E"/>
    <w:rsid w:val="009F2059"/>
    <w:rsid w:val="009F2179"/>
    <w:rsid w:val="009F5EC8"/>
    <w:rsid w:val="00A0196B"/>
    <w:rsid w:val="00A021AC"/>
    <w:rsid w:val="00A0288F"/>
    <w:rsid w:val="00A1126F"/>
    <w:rsid w:val="00A128A1"/>
    <w:rsid w:val="00A20D55"/>
    <w:rsid w:val="00A23E78"/>
    <w:rsid w:val="00A2550C"/>
    <w:rsid w:val="00A2566A"/>
    <w:rsid w:val="00A268E6"/>
    <w:rsid w:val="00A269DB"/>
    <w:rsid w:val="00A26DDD"/>
    <w:rsid w:val="00A33D24"/>
    <w:rsid w:val="00A34067"/>
    <w:rsid w:val="00A353F5"/>
    <w:rsid w:val="00A368F1"/>
    <w:rsid w:val="00A37676"/>
    <w:rsid w:val="00A376C6"/>
    <w:rsid w:val="00A406A8"/>
    <w:rsid w:val="00A4391C"/>
    <w:rsid w:val="00A47F81"/>
    <w:rsid w:val="00A52E49"/>
    <w:rsid w:val="00A553D3"/>
    <w:rsid w:val="00A556AD"/>
    <w:rsid w:val="00A60C0A"/>
    <w:rsid w:val="00A62742"/>
    <w:rsid w:val="00A67FDE"/>
    <w:rsid w:val="00A71256"/>
    <w:rsid w:val="00A7219E"/>
    <w:rsid w:val="00A762D4"/>
    <w:rsid w:val="00A7661C"/>
    <w:rsid w:val="00A81A6E"/>
    <w:rsid w:val="00A822D5"/>
    <w:rsid w:val="00A917E7"/>
    <w:rsid w:val="00A9522E"/>
    <w:rsid w:val="00AA5BF6"/>
    <w:rsid w:val="00AB0C85"/>
    <w:rsid w:val="00AB2D64"/>
    <w:rsid w:val="00AB404B"/>
    <w:rsid w:val="00AB4129"/>
    <w:rsid w:val="00AB45AE"/>
    <w:rsid w:val="00AB492F"/>
    <w:rsid w:val="00AC311A"/>
    <w:rsid w:val="00AC6386"/>
    <w:rsid w:val="00AD0FEA"/>
    <w:rsid w:val="00AD1EC4"/>
    <w:rsid w:val="00AD34D5"/>
    <w:rsid w:val="00AD6A21"/>
    <w:rsid w:val="00AE1206"/>
    <w:rsid w:val="00AE2834"/>
    <w:rsid w:val="00AE3074"/>
    <w:rsid w:val="00AE334B"/>
    <w:rsid w:val="00AE7C72"/>
    <w:rsid w:val="00AF03C9"/>
    <w:rsid w:val="00AF08E1"/>
    <w:rsid w:val="00AF1212"/>
    <w:rsid w:val="00AF130A"/>
    <w:rsid w:val="00AF1BB3"/>
    <w:rsid w:val="00AF7E19"/>
    <w:rsid w:val="00B01C3E"/>
    <w:rsid w:val="00B02CFE"/>
    <w:rsid w:val="00B07A73"/>
    <w:rsid w:val="00B1169C"/>
    <w:rsid w:val="00B13DF0"/>
    <w:rsid w:val="00B15B52"/>
    <w:rsid w:val="00B213B3"/>
    <w:rsid w:val="00B2226D"/>
    <w:rsid w:val="00B24070"/>
    <w:rsid w:val="00B34B46"/>
    <w:rsid w:val="00B36202"/>
    <w:rsid w:val="00B37AD5"/>
    <w:rsid w:val="00B424A3"/>
    <w:rsid w:val="00B455D3"/>
    <w:rsid w:val="00B45796"/>
    <w:rsid w:val="00B50AA5"/>
    <w:rsid w:val="00B514FE"/>
    <w:rsid w:val="00B531A6"/>
    <w:rsid w:val="00B55AB1"/>
    <w:rsid w:val="00B6028C"/>
    <w:rsid w:val="00B610E8"/>
    <w:rsid w:val="00B62D7C"/>
    <w:rsid w:val="00B7087F"/>
    <w:rsid w:val="00B71763"/>
    <w:rsid w:val="00B719D5"/>
    <w:rsid w:val="00B74679"/>
    <w:rsid w:val="00B74DF0"/>
    <w:rsid w:val="00B75D87"/>
    <w:rsid w:val="00B77A43"/>
    <w:rsid w:val="00B842C5"/>
    <w:rsid w:val="00B84922"/>
    <w:rsid w:val="00B87087"/>
    <w:rsid w:val="00B932F1"/>
    <w:rsid w:val="00B95C0C"/>
    <w:rsid w:val="00BA0F25"/>
    <w:rsid w:val="00BA5020"/>
    <w:rsid w:val="00BB494B"/>
    <w:rsid w:val="00BC30D3"/>
    <w:rsid w:val="00BC3414"/>
    <w:rsid w:val="00BC4D29"/>
    <w:rsid w:val="00BC5B61"/>
    <w:rsid w:val="00BD09AC"/>
    <w:rsid w:val="00BD3B9C"/>
    <w:rsid w:val="00BE142C"/>
    <w:rsid w:val="00BE2F98"/>
    <w:rsid w:val="00BE48B7"/>
    <w:rsid w:val="00BE7DF6"/>
    <w:rsid w:val="00BF1EA0"/>
    <w:rsid w:val="00BF289B"/>
    <w:rsid w:val="00C04892"/>
    <w:rsid w:val="00C07547"/>
    <w:rsid w:val="00C11777"/>
    <w:rsid w:val="00C21569"/>
    <w:rsid w:val="00C2685D"/>
    <w:rsid w:val="00C275CD"/>
    <w:rsid w:val="00C27B4F"/>
    <w:rsid w:val="00C34C42"/>
    <w:rsid w:val="00C377E1"/>
    <w:rsid w:val="00C427EC"/>
    <w:rsid w:val="00C43BFE"/>
    <w:rsid w:val="00C44FFA"/>
    <w:rsid w:val="00C50990"/>
    <w:rsid w:val="00C522AF"/>
    <w:rsid w:val="00C52BD0"/>
    <w:rsid w:val="00C52EA1"/>
    <w:rsid w:val="00C5448B"/>
    <w:rsid w:val="00C544FA"/>
    <w:rsid w:val="00C54B40"/>
    <w:rsid w:val="00C57546"/>
    <w:rsid w:val="00C66EC2"/>
    <w:rsid w:val="00C71AD5"/>
    <w:rsid w:val="00C72961"/>
    <w:rsid w:val="00C73AF5"/>
    <w:rsid w:val="00C75312"/>
    <w:rsid w:val="00C7577D"/>
    <w:rsid w:val="00C81C80"/>
    <w:rsid w:val="00C86D92"/>
    <w:rsid w:val="00C90BFE"/>
    <w:rsid w:val="00C91986"/>
    <w:rsid w:val="00C91EBE"/>
    <w:rsid w:val="00C93E04"/>
    <w:rsid w:val="00C94A17"/>
    <w:rsid w:val="00CA1803"/>
    <w:rsid w:val="00CA30B1"/>
    <w:rsid w:val="00CA39E0"/>
    <w:rsid w:val="00CB683D"/>
    <w:rsid w:val="00CB7C9C"/>
    <w:rsid w:val="00CC23E0"/>
    <w:rsid w:val="00CC3011"/>
    <w:rsid w:val="00CC7A8F"/>
    <w:rsid w:val="00CD061F"/>
    <w:rsid w:val="00CD6339"/>
    <w:rsid w:val="00CD63D8"/>
    <w:rsid w:val="00CE4E3C"/>
    <w:rsid w:val="00CE53FC"/>
    <w:rsid w:val="00D0283E"/>
    <w:rsid w:val="00D03833"/>
    <w:rsid w:val="00D058A9"/>
    <w:rsid w:val="00D06A31"/>
    <w:rsid w:val="00D06E75"/>
    <w:rsid w:val="00D11760"/>
    <w:rsid w:val="00D20EE9"/>
    <w:rsid w:val="00D21EE2"/>
    <w:rsid w:val="00D2226D"/>
    <w:rsid w:val="00D22CD8"/>
    <w:rsid w:val="00D34B0A"/>
    <w:rsid w:val="00D350C6"/>
    <w:rsid w:val="00D35BF0"/>
    <w:rsid w:val="00D35E54"/>
    <w:rsid w:val="00D35F42"/>
    <w:rsid w:val="00D368D0"/>
    <w:rsid w:val="00D37891"/>
    <w:rsid w:val="00D433B0"/>
    <w:rsid w:val="00D475DE"/>
    <w:rsid w:val="00D521D8"/>
    <w:rsid w:val="00D54E70"/>
    <w:rsid w:val="00D54F10"/>
    <w:rsid w:val="00D57812"/>
    <w:rsid w:val="00D6746B"/>
    <w:rsid w:val="00D71DD3"/>
    <w:rsid w:val="00D723B7"/>
    <w:rsid w:val="00D748E9"/>
    <w:rsid w:val="00D7578F"/>
    <w:rsid w:val="00D80472"/>
    <w:rsid w:val="00D810ED"/>
    <w:rsid w:val="00D85F18"/>
    <w:rsid w:val="00DA3989"/>
    <w:rsid w:val="00DB016F"/>
    <w:rsid w:val="00DB45A6"/>
    <w:rsid w:val="00DC07A5"/>
    <w:rsid w:val="00DC1109"/>
    <w:rsid w:val="00DC2BC0"/>
    <w:rsid w:val="00DC561E"/>
    <w:rsid w:val="00DD3A9E"/>
    <w:rsid w:val="00DE153F"/>
    <w:rsid w:val="00DE5D9E"/>
    <w:rsid w:val="00DF142E"/>
    <w:rsid w:val="00DF1715"/>
    <w:rsid w:val="00DF1B9F"/>
    <w:rsid w:val="00DF25C8"/>
    <w:rsid w:val="00E05187"/>
    <w:rsid w:val="00E06E9C"/>
    <w:rsid w:val="00E15604"/>
    <w:rsid w:val="00E157A5"/>
    <w:rsid w:val="00E20CFB"/>
    <w:rsid w:val="00E22E2E"/>
    <w:rsid w:val="00E25DCE"/>
    <w:rsid w:val="00E2735D"/>
    <w:rsid w:val="00E2798D"/>
    <w:rsid w:val="00E31EF4"/>
    <w:rsid w:val="00E32368"/>
    <w:rsid w:val="00E369A7"/>
    <w:rsid w:val="00E374D1"/>
    <w:rsid w:val="00E37A76"/>
    <w:rsid w:val="00E41918"/>
    <w:rsid w:val="00E44C8B"/>
    <w:rsid w:val="00E52D59"/>
    <w:rsid w:val="00E61749"/>
    <w:rsid w:val="00E62B8A"/>
    <w:rsid w:val="00E70C00"/>
    <w:rsid w:val="00E74302"/>
    <w:rsid w:val="00E7693E"/>
    <w:rsid w:val="00E77553"/>
    <w:rsid w:val="00E80896"/>
    <w:rsid w:val="00E86080"/>
    <w:rsid w:val="00E870B7"/>
    <w:rsid w:val="00E92192"/>
    <w:rsid w:val="00E936D6"/>
    <w:rsid w:val="00E945C1"/>
    <w:rsid w:val="00E9460F"/>
    <w:rsid w:val="00EA2C86"/>
    <w:rsid w:val="00EB15D3"/>
    <w:rsid w:val="00EB6693"/>
    <w:rsid w:val="00EC2C9B"/>
    <w:rsid w:val="00EC3300"/>
    <w:rsid w:val="00EC48C6"/>
    <w:rsid w:val="00EC4FE1"/>
    <w:rsid w:val="00EC5DC1"/>
    <w:rsid w:val="00EC6102"/>
    <w:rsid w:val="00EC6C6E"/>
    <w:rsid w:val="00ED0850"/>
    <w:rsid w:val="00ED3CF7"/>
    <w:rsid w:val="00ED69E5"/>
    <w:rsid w:val="00ED7C8B"/>
    <w:rsid w:val="00EE1218"/>
    <w:rsid w:val="00EE2C59"/>
    <w:rsid w:val="00EE4E57"/>
    <w:rsid w:val="00EE6B58"/>
    <w:rsid w:val="00EF2219"/>
    <w:rsid w:val="00EF4D23"/>
    <w:rsid w:val="00EF54D0"/>
    <w:rsid w:val="00EF6A5A"/>
    <w:rsid w:val="00F01442"/>
    <w:rsid w:val="00F01DF3"/>
    <w:rsid w:val="00F0331F"/>
    <w:rsid w:val="00F12018"/>
    <w:rsid w:val="00F154A9"/>
    <w:rsid w:val="00F157D7"/>
    <w:rsid w:val="00F231F7"/>
    <w:rsid w:val="00F33AE3"/>
    <w:rsid w:val="00F357F2"/>
    <w:rsid w:val="00F35F17"/>
    <w:rsid w:val="00F40B54"/>
    <w:rsid w:val="00F43751"/>
    <w:rsid w:val="00F46888"/>
    <w:rsid w:val="00F46BB0"/>
    <w:rsid w:val="00F50EFF"/>
    <w:rsid w:val="00F527A6"/>
    <w:rsid w:val="00F53246"/>
    <w:rsid w:val="00F543CF"/>
    <w:rsid w:val="00F54A94"/>
    <w:rsid w:val="00F60A47"/>
    <w:rsid w:val="00F7342C"/>
    <w:rsid w:val="00F81B3D"/>
    <w:rsid w:val="00F85AE3"/>
    <w:rsid w:val="00F8664A"/>
    <w:rsid w:val="00F86A68"/>
    <w:rsid w:val="00F90530"/>
    <w:rsid w:val="00F92B94"/>
    <w:rsid w:val="00F96F04"/>
    <w:rsid w:val="00FA05C0"/>
    <w:rsid w:val="00FA16AD"/>
    <w:rsid w:val="00FB0AE1"/>
    <w:rsid w:val="00FB0C13"/>
    <w:rsid w:val="00FB1403"/>
    <w:rsid w:val="00FB2635"/>
    <w:rsid w:val="00FB5E2E"/>
    <w:rsid w:val="00FD2FF1"/>
    <w:rsid w:val="00FD31E9"/>
    <w:rsid w:val="00FD4B0E"/>
    <w:rsid w:val="00FD4B9B"/>
    <w:rsid w:val="00FD6B9E"/>
    <w:rsid w:val="00FE0EE1"/>
    <w:rsid w:val="00FE243A"/>
    <w:rsid w:val="00FE3173"/>
    <w:rsid w:val="00FE66A6"/>
    <w:rsid w:val="00FE7F89"/>
    <w:rsid w:val="00FF3FEA"/>
    <w:rsid w:val="5695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AC8AE"/>
  <w15:docId w15:val="{10DA3F28-DE70-489E-98E0-F7B95F66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F4D23"/>
    <w:pPr>
      <w:spacing w:line="240" w:lineRule="auto"/>
    </w:pPr>
    <w:rPr>
      <w:rFonts w:ascii="Calibri" w:hAnsi="Calibri"/>
      <w:lang w:bidi="en-US"/>
    </w:rPr>
  </w:style>
  <w:style w:type="paragraph" w:styleId="Heading1">
    <w:name w:val="heading 1"/>
    <w:basedOn w:val="Normal"/>
    <w:next w:val="Normal"/>
    <w:link w:val="Heading1Char"/>
    <w:qFormat/>
    <w:rsid w:val="00066636"/>
    <w:pPr>
      <w:numPr>
        <w:numId w:val="6"/>
      </w:numPr>
      <w:tabs>
        <w:tab w:val="left" w:pos="1602"/>
      </w:tabs>
      <w:spacing w:before="200"/>
      <w:ind w:left="1008" w:hanging="1008"/>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autoRedefine/>
    <w:qFormat/>
    <w:rsid w:val="00685E63"/>
    <w:pPr>
      <w:numPr>
        <w:ilvl w:val="1"/>
        <w:numId w:val="6"/>
      </w:numPr>
      <w:spacing w:before="200"/>
      <w:outlineLvl w:val="1"/>
    </w:pPr>
    <w:rPr>
      <w:rFonts w:eastAsiaTheme="majorEastAsia" w:cstheme="majorBidi"/>
      <w:b/>
      <w:bCs/>
      <w:sz w:val="24"/>
      <w:szCs w:val="26"/>
    </w:rPr>
  </w:style>
  <w:style w:type="paragraph" w:styleId="Heading3">
    <w:name w:val="heading 3"/>
    <w:basedOn w:val="Normal"/>
    <w:next w:val="Normal"/>
    <w:link w:val="Heading3Char"/>
    <w:autoRedefine/>
    <w:qFormat/>
    <w:rsid w:val="003E0937"/>
    <w:pPr>
      <w:numPr>
        <w:ilvl w:val="2"/>
        <w:numId w:val="6"/>
      </w:numPr>
      <w:spacing w:before="200"/>
      <w:outlineLvl w:val="2"/>
    </w:pPr>
    <w:rPr>
      <w:rFonts w:eastAsiaTheme="majorEastAsia" w:cstheme="majorBidi"/>
      <w:b/>
      <w:bCs/>
    </w:rPr>
  </w:style>
  <w:style w:type="paragraph" w:styleId="Heading4">
    <w:name w:val="heading 4"/>
    <w:basedOn w:val="Normal"/>
    <w:next w:val="Normal"/>
    <w:link w:val="Heading4Char"/>
    <w:autoRedefine/>
    <w:qFormat/>
    <w:rsid w:val="00134EA1"/>
    <w:pPr>
      <w:numPr>
        <w:ilvl w:val="3"/>
        <w:numId w:val="6"/>
      </w:numPr>
      <w:spacing w:before="200"/>
      <w:outlineLvl w:val="3"/>
    </w:pPr>
    <w:rPr>
      <w:rFonts w:eastAsiaTheme="majorEastAsia" w:cstheme="majorBidi"/>
      <w:b/>
      <w:bCs/>
      <w:i/>
      <w:iCs/>
    </w:rPr>
  </w:style>
  <w:style w:type="paragraph" w:styleId="Heading5">
    <w:name w:val="heading 5"/>
    <w:basedOn w:val="Normal"/>
    <w:next w:val="Normal"/>
    <w:link w:val="Heading5Char"/>
    <w:autoRedefine/>
    <w:qFormat/>
    <w:rsid w:val="00566A64"/>
    <w:pPr>
      <w:numPr>
        <w:ilvl w:val="4"/>
        <w:numId w:val="6"/>
      </w:numPr>
      <w:spacing w:before="200"/>
      <w:outlineLvl w:val="4"/>
    </w:pPr>
    <w:rPr>
      <w:rFonts w:eastAsiaTheme="majorEastAsia" w:cstheme="majorBidi"/>
      <w:b/>
      <w:bCs/>
      <w:color w:val="000000" w:themeColor="text1"/>
    </w:rPr>
  </w:style>
  <w:style w:type="paragraph" w:styleId="Heading6">
    <w:name w:val="heading 6"/>
    <w:basedOn w:val="Normal"/>
    <w:next w:val="Normal"/>
    <w:link w:val="Heading6Char"/>
    <w:semiHidden/>
    <w:qFormat/>
    <w:rsid w:val="00192A11"/>
    <w:pPr>
      <w:numPr>
        <w:ilvl w:val="5"/>
        <w:numId w:val="6"/>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semiHidden/>
    <w:qFormat/>
    <w:rsid w:val="00192A11"/>
    <w:pPr>
      <w:numPr>
        <w:ilvl w:val="6"/>
        <w:numId w:val="6"/>
      </w:numPr>
      <w:outlineLvl w:val="6"/>
    </w:pPr>
    <w:rPr>
      <w:rFonts w:asciiTheme="majorHAnsi" w:eastAsiaTheme="majorEastAsia" w:hAnsiTheme="majorHAnsi" w:cstheme="majorBidi"/>
      <w:i/>
      <w:iCs/>
    </w:rPr>
  </w:style>
  <w:style w:type="paragraph" w:styleId="Heading8">
    <w:name w:val="heading 8"/>
    <w:basedOn w:val="Normal"/>
    <w:next w:val="Normal"/>
    <w:link w:val="Heading8Char"/>
    <w:semiHidden/>
    <w:qFormat/>
    <w:rsid w:val="00192A11"/>
    <w:pPr>
      <w:numPr>
        <w:ilvl w:val="7"/>
        <w:numId w:val="6"/>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qFormat/>
    <w:rsid w:val="00192A11"/>
    <w:pPr>
      <w:numPr>
        <w:ilvl w:val="8"/>
        <w:numId w:val="6"/>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192A11"/>
  </w:style>
  <w:style w:type="character" w:customStyle="1" w:styleId="Heading1Char">
    <w:name w:val="Heading 1 Char"/>
    <w:basedOn w:val="DefaultParagraphFont"/>
    <w:link w:val="Heading1"/>
    <w:rsid w:val="00066636"/>
    <w:rPr>
      <w:rFonts w:eastAsiaTheme="majorEastAsia" w:cstheme="majorBidi"/>
      <w:b/>
      <w:bCs/>
      <w:sz w:val="28"/>
      <w:szCs w:val="28"/>
      <w:lang w:bidi="en-US"/>
    </w:rPr>
  </w:style>
  <w:style w:type="character" w:customStyle="1" w:styleId="Heading2Char">
    <w:name w:val="Heading 2 Char"/>
    <w:basedOn w:val="DefaultParagraphFont"/>
    <w:link w:val="Heading2"/>
    <w:rsid w:val="00685E63"/>
    <w:rPr>
      <w:rFonts w:ascii="Calibri" w:eastAsiaTheme="majorEastAsia" w:hAnsi="Calibri" w:cstheme="majorBidi"/>
      <w:b/>
      <w:bCs/>
      <w:sz w:val="24"/>
      <w:szCs w:val="26"/>
      <w:lang w:bidi="en-US"/>
    </w:rPr>
  </w:style>
  <w:style w:type="paragraph" w:styleId="Title">
    <w:name w:val="Title"/>
    <w:basedOn w:val="Normal"/>
    <w:next w:val="Normal"/>
    <w:link w:val="TitleChar"/>
    <w:rsid w:val="00192A1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192A11"/>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qFormat/>
    <w:rsid w:val="00192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192A11"/>
    <w:rPr>
      <w:rFonts w:asciiTheme="majorHAnsi" w:eastAsiaTheme="majorEastAsia" w:hAnsiTheme="majorHAnsi" w:cstheme="majorBidi"/>
      <w:i/>
      <w:iCs/>
      <w:spacing w:val="13"/>
      <w:sz w:val="24"/>
      <w:szCs w:val="24"/>
      <w:lang w:bidi="en-US"/>
    </w:rPr>
  </w:style>
  <w:style w:type="character" w:styleId="SubtleEmphasis">
    <w:name w:val="Subtle Emphasis"/>
    <w:qFormat/>
    <w:rsid w:val="00192A11"/>
    <w:rPr>
      <w:i/>
      <w:iCs/>
    </w:rPr>
  </w:style>
  <w:style w:type="character" w:styleId="Emphasis">
    <w:name w:val="Emphasis"/>
    <w:uiPriority w:val="20"/>
    <w:qFormat/>
    <w:rsid w:val="00192A11"/>
    <w:rPr>
      <w:b/>
      <w:bCs/>
      <w:i/>
      <w:iCs/>
      <w:spacing w:val="10"/>
      <w:bdr w:val="none" w:sz="0" w:space="0" w:color="auto"/>
      <w:shd w:val="clear" w:color="auto" w:fill="auto"/>
    </w:rPr>
  </w:style>
  <w:style w:type="character" w:styleId="Strong">
    <w:name w:val="Strong"/>
    <w:qFormat/>
    <w:rsid w:val="00192A11"/>
    <w:rPr>
      <w:b/>
      <w:bCs/>
    </w:rPr>
  </w:style>
  <w:style w:type="character" w:styleId="IntenseEmphasis">
    <w:name w:val="Intense Emphasis"/>
    <w:qFormat/>
    <w:rsid w:val="00192A11"/>
    <w:rPr>
      <w:b/>
      <w:bCs/>
    </w:rPr>
  </w:style>
  <w:style w:type="paragraph" w:styleId="Quote">
    <w:name w:val="Quote"/>
    <w:basedOn w:val="Normal"/>
    <w:next w:val="Normal"/>
    <w:link w:val="QuoteChar"/>
    <w:qFormat/>
    <w:rsid w:val="00192A11"/>
    <w:pPr>
      <w:spacing w:before="200"/>
      <w:ind w:left="360" w:right="360"/>
    </w:pPr>
    <w:rPr>
      <w:i/>
      <w:iCs/>
    </w:rPr>
  </w:style>
  <w:style w:type="character" w:customStyle="1" w:styleId="QuoteChar">
    <w:name w:val="Quote Char"/>
    <w:basedOn w:val="DefaultParagraphFont"/>
    <w:link w:val="Quote"/>
    <w:rsid w:val="00192A11"/>
    <w:rPr>
      <w:rFonts w:ascii="Arial" w:hAnsi="Arial"/>
      <w:i/>
      <w:iCs/>
      <w:lang w:bidi="en-US"/>
    </w:rPr>
  </w:style>
  <w:style w:type="character" w:styleId="SubtleReference">
    <w:name w:val="Subtle Reference"/>
    <w:qFormat/>
    <w:rsid w:val="00192A11"/>
    <w:rPr>
      <w:smallCaps/>
    </w:rPr>
  </w:style>
  <w:style w:type="character" w:styleId="IntenseReference">
    <w:name w:val="Intense Reference"/>
    <w:qFormat/>
    <w:rsid w:val="00192A11"/>
    <w:rPr>
      <w:smallCaps/>
      <w:spacing w:val="5"/>
      <w:u w:val="single"/>
    </w:rPr>
  </w:style>
  <w:style w:type="character" w:styleId="BookTitle">
    <w:name w:val="Book Title"/>
    <w:rsid w:val="00192A11"/>
    <w:rPr>
      <w:i/>
      <w:iCs/>
      <w:smallCaps/>
      <w:spacing w:val="5"/>
    </w:rPr>
  </w:style>
  <w:style w:type="paragraph" w:styleId="ListParagraph">
    <w:name w:val="List Paragraph"/>
    <w:basedOn w:val="Normal"/>
    <w:uiPriority w:val="34"/>
    <w:qFormat/>
    <w:rsid w:val="00192A11"/>
    <w:pPr>
      <w:ind w:left="720"/>
      <w:contextualSpacing/>
    </w:pPr>
  </w:style>
  <w:style w:type="paragraph" w:styleId="Header">
    <w:name w:val="header"/>
    <w:basedOn w:val="Normal"/>
    <w:link w:val="HeaderChar"/>
    <w:uiPriority w:val="99"/>
    <w:unhideWhenUsed/>
    <w:rsid w:val="00192A11"/>
    <w:pPr>
      <w:tabs>
        <w:tab w:val="center" w:pos="4680"/>
        <w:tab w:val="right" w:pos="9360"/>
      </w:tabs>
    </w:pPr>
  </w:style>
  <w:style w:type="character" w:customStyle="1" w:styleId="HeaderChar">
    <w:name w:val="Header Char"/>
    <w:basedOn w:val="DefaultParagraphFont"/>
    <w:link w:val="Header"/>
    <w:uiPriority w:val="99"/>
    <w:rsid w:val="00192A11"/>
    <w:rPr>
      <w:rFonts w:ascii="Arial" w:hAnsi="Arial"/>
      <w:lang w:bidi="en-US"/>
    </w:rPr>
  </w:style>
  <w:style w:type="paragraph" w:styleId="Footer">
    <w:name w:val="footer"/>
    <w:basedOn w:val="Normal"/>
    <w:link w:val="FooterChar"/>
    <w:rsid w:val="00192A11"/>
    <w:pPr>
      <w:tabs>
        <w:tab w:val="center" w:pos="4680"/>
        <w:tab w:val="right" w:pos="9360"/>
      </w:tabs>
    </w:pPr>
    <w:rPr>
      <w:rFonts w:eastAsia="Times New Roman"/>
      <w:snapToGrid w:val="0"/>
    </w:rPr>
  </w:style>
  <w:style w:type="character" w:customStyle="1" w:styleId="FooterChar">
    <w:name w:val="Footer Char"/>
    <w:basedOn w:val="DefaultParagraphFont"/>
    <w:link w:val="Footer"/>
    <w:rsid w:val="00192A11"/>
    <w:rPr>
      <w:rFonts w:ascii="Arial" w:eastAsia="Times New Roman" w:hAnsi="Arial"/>
      <w:snapToGrid w:val="0"/>
      <w:lang w:bidi="en-US"/>
    </w:rPr>
  </w:style>
  <w:style w:type="paragraph" w:styleId="BalloonText">
    <w:name w:val="Balloon Text"/>
    <w:basedOn w:val="Normal"/>
    <w:link w:val="BalloonTextChar"/>
    <w:uiPriority w:val="99"/>
    <w:semiHidden/>
    <w:unhideWhenUsed/>
    <w:rsid w:val="00192A11"/>
    <w:rPr>
      <w:rFonts w:ascii="Tahoma" w:hAnsi="Tahoma" w:cs="Tahoma"/>
      <w:sz w:val="16"/>
      <w:szCs w:val="16"/>
    </w:rPr>
  </w:style>
  <w:style w:type="character" w:customStyle="1" w:styleId="BalloonTextChar">
    <w:name w:val="Balloon Text Char"/>
    <w:basedOn w:val="DefaultParagraphFont"/>
    <w:link w:val="BalloonText"/>
    <w:uiPriority w:val="99"/>
    <w:semiHidden/>
    <w:rsid w:val="00192A11"/>
    <w:rPr>
      <w:rFonts w:ascii="Tahoma" w:hAnsi="Tahoma" w:cs="Tahoma"/>
      <w:sz w:val="16"/>
      <w:szCs w:val="16"/>
      <w:lang w:bidi="en-US"/>
    </w:rPr>
  </w:style>
  <w:style w:type="table" w:styleId="TableGrid">
    <w:name w:val="Table Grid"/>
    <w:basedOn w:val="TableNormal"/>
    <w:uiPriority w:val="99"/>
    <w:rsid w:val="00192A1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2A11"/>
    <w:pPr>
      <w:spacing w:before="100" w:beforeAutospacing="1" w:after="100" w:afterAutospacing="1"/>
    </w:pPr>
    <w:rPr>
      <w:rFonts w:ascii="Times New Roman" w:eastAsiaTheme="minorEastAsia" w:hAnsi="Times New Roman" w:cs="Times New Roman"/>
      <w:sz w:val="24"/>
      <w:szCs w:val="24"/>
    </w:rPr>
  </w:style>
  <w:style w:type="paragraph" w:customStyle="1" w:styleId="mainnumbers">
    <w:name w:val="main numbers"/>
    <w:basedOn w:val="ListParagraph"/>
    <w:qFormat/>
    <w:rsid w:val="0099522A"/>
    <w:pPr>
      <w:numPr>
        <w:numId w:val="2"/>
      </w:numPr>
    </w:pPr>
    <w:rPr>
      <w:szCs w:val="20"/>
    </w:rPr>
  </w:style>
  <w:style w:type="paragraph" w:customStyle="1" w:styleId="mainbodytext">
    <w:name w:val="main body text"/>
    <w:basedOn w:val="Normal"/>
    <w:qFormat/>
    <w:rsid w:val="009E0170"/>
    <w:pPr>
      <w:spacing w:before="120"/>
    </w:pPr>
  </w:style>
  <w:style w:type="paragraph" w:customStyle="1" w:styleId="italicname">
    <w:name w:val="italic name"/>
    <w:basedOn w:val="Normal"/>
    <w:qFormat/>
    <w:rsid w:val="00192A11"/>
    <w:pPr>
      <w:spacing w:before="120"/>
    </w:pPr>
    <w:rPr>
      <w:rFonts w:cs="Arial"/>
      <w:i/>
      <w:szCs w:val="20"/>
    </w:rPr>
  </w:style>
  <w:style w:type="paragraph" w:customStyle="1" w:styleId="boldtableheader">
    <w:name w:val="bold table header"/>
    <w:basedOn w:val="Normal"/>
    <w:qFormat/>
    <w:rsid w:val="005E601C"/>
    <w:rPr>
      <w:rFonts w:cs="Arial"/>
      <w:b/>
      <w:color w:val="FFFFFF" w:themeColor="background1"/>
      <w:szCs w:val="20"/>
    </w:rPr>
  </w:style>
  <w:style w:type="paragraph" w:customStyle="1" w:styleId="blueheader">
    <w:name w:val="blue header"/>
    <w:basedOn w:val="mainbodytext"/>
    <w:qFormat/>
    <w:rsid w:val="00D35F42"/>
    <w:rPr>
      <w:b/>
    </w:rPr>
  </w:style>
  <w:style w:type="paragraph" w:customStyle="1" w:styleId="tabletext">
    <w:name w:val="table text"/>
    <w:basedOn w:val="mainbodytext"/>
    <w:qFormat/>
    <w:rsid w:val="0093596F"/>
    <w:rPr>
      <w:sz w:val="20"/>
    </w:rPr>
  </w:style>
  <w:style w:type="character" w:customStyle="1" w:styleId="Heading3Char">
    <w:name w:val="Heading 3 Char"/>
    <w:basedOn w:val="DefaultParagraphFont"/>
    <w:link w:val="Heading3"/>
    <w:rsid w:val="003E0937"/>
    <w:rPr>
      <w:rFonts w:ascii="Calibri" w:eastAsiaTheme="majorEastAsia" w:hAnsi="Calibri" w:cstheme="majorBidi"/>
      <w:b/>
      <w:bCs/>
      <w:lang w:bidi="en-US"/>
    </w:rPr>
  </w:style>
  <w:style w:type="character" w:customStyle="1" w:styleId="Heading4Char">
    <w:name w:val="Heading 4 Char"/>
    <w:basedOn w:val="DefaultParagraphFont"/>
    <w:link w:val="Heading4"/>
    <w:rsid w:val="00134EA1"/>
    <w:rPr>
      <w:rFonts w:ascii="Calibri" w:eastAsiaTheme="majorEastAsia" w:hAnsi="Calibri" w:cstheme="majorBidi"/>
      <w:b/>
      <w:bCs/>
      <w:i/>
      <w:iCs/>
      <w:lang w:bidi="en-US"/>
    </w:rPr>
  </w:style>
  <w:style w:type="character" w:customStyle="1" w:styleId="Heading5Char">
    <w:name w:val="Heading 5 Char"/>
    <w:basedOn w:val="DefaultParagraphFont"/>
    <w:link w:val="Heading5"/>
    <w:rsid w:val="00566A64"/>
    <w:rPr>
      <w:rFonts w:ascii="Arial" w:eastAsiaTheme="majorEastAsia" w:hAnsi="Arial" w:cstheme="majorBidi"/>
      <w:b/>
      <w:bCs/>
      <w:color w:val="000000" w:themeColor="text1"/>
      <w:lang w:bidi="en-US"/>
    </w:rPr>
  </w:style>
  <w:style w:type="character" w:customStyle="1" w:styleId="Heading6Char">
    <w:name w:val="Heading 6 Char"/>
    <w:basedOn w:val="DefaultParagraphFont"/>
    <w:link w:val="Heading6"/>
    <w:semiHidden/>
    <w:rsid w:val="00192A11"/>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semiHidden/>
    <w:rsid w:val="00192A11"/>
    <w:rPr>
      <w:rFonts w:asciiTheme="majorHAnsi" w:eastAsiaTheme="majorEastAsia" w:hAnsiTheme="majorHAnsi" w:cstheme="majorBidi"/>
      <w:i/>
      <w:iCs/>
      <w:lang w:bidi="en-US"/>
    </w:rPr>
  </w:style>
  <w:style w:type="character" w:customStyle="1" w:styleId="Heading8Char">
    <w:name w:val="Heading 8 Char"/>
    <w:basedOn w:val="DefaultParagraphFont"/>
    <w:link w:val="Heading8"/>
    <w:semiHidden/>
    <w:rsid w:val="00192A11"/>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semiHidden/>
    <w:rsid w:val="00192A11"/>
    <w:rPr>
      <w:rFonts w:asciiTheme="majorHAnsi" w:eastAsiaTheme="majorEastAsia" w:hAnsiTheme="majorHAnsi" w:cstheme="majorBidi"/>
      <w:i/>
      <w:iCs/>
      <w:spacing w:val="5"/>
      <w:sz w:val="20"/>
      <w:szCs w:val="20"/>
      <w:lang w:bidi="en-US"/>
    </w:rPr>
  </w:style>
  <w:style w:type="paragraph" w:styleId="IntenseQuote">
    <w:name w:val="Intense Quote"/>
    <w:basedOn w:val="Normal"/>
    <w:next w:val="Normal"/>
    <w:link w:val="IntenseQuoteChar"/>
    <w:qFormat/>
    <w:rsid w:val="00192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rsid w:val="00192A11"/>
    <w:rPr>
      <w:rFonts w:ascii="Arial" w:hAnsi="Arial"/>
      <w:b/>
      <w:bCs/>
      <w:i/>
      <w:iCs/>
      <w:lang w:bidi="en-US"/>
    </w:rPr>
  </w:style>
  <w:style w:type="paragraph" w:styleId="TOCHeading">
    <w:name w:val="TOC Heading"/>
    <w:basedOn w:val="Heading1"/>
    <w:next w:val="Normal"/>
    <w:semiHidden/>
    <w:qFormat/>
    <w:rsid w:val="00192A11"/>
    <w:pPr>
      <w:outlineLvl w:val="9"/>
    </w:pPr>
  </w:style>
  <w:style w:type="paragraph" w:styleId="Caption">
    <w:name w:val="caption"/>
    <w:aliases w:val="Caption SWS Style,Tables,Caption Char Char,Caption SWS Style Char Char,Caption Char1 Char1 Char,Caption Char Char Char1 Char,Caption Char1 Char Char Char Char,Caption Char Char Char Char Char Char,Tables Char Char Char Char Char Char,Style 5"/>
    <w:basedOn w:val="Normal"/>
    <w:next w:val="Normal"/>
    <w:link w:val="CaptionChar"/>
    <w:qFormat/>
    <w:rsid w:val="00192A11"/>
    <w:rPr>
      <w:b/>
      <w:bCs/>
      <w:caps/>
      <w:sz w:val="16"/>
      <w:szCs w:val="18"/>
    </w:rPr>
  </w:style>
  <w:style w:type="character" w:customStyle="1" w:styleId="NoSpacingChar">
    <w:name w:val="No Spacing Char"/>
    <w:basedOn w:val="DefaultParagraphFont"/>
    <w:link w:val="NoSpacing"/>
    <w:rsid w:val="00192A11"/>
    <w:rPr>
      <w:rFonts w:ascii="Arial" w:hAnsi="Arial"/>
      <w:lang w:bidi="en-US"/>
    </w:rPr>
  </w:style>
  <w:style w:type="paragraph" w:styleId="TOC2">
    <w:name w:val="toc 2"/>
    <w:basedOn w:val="Normal"/>
    <w:next w:val="Normal"/>
    <w:autoRedefine/>
    <w:uiPriority w:val="39"/>
    <w:semiHidden/>
    <w:unhideWhenUsed/>
    <w:qFormat/>
    <w:rsid w:val="00192A11"/>
    <w:pPr>
      <w:spacing w:after="100"/>
      <w:ind w:left="220"/>
    </w:pPr>
  </w:style>
  <w:style w:type="paragraph" w:customStyle="1" w:styleId="BulletOutline1">
    <w:name w:val="Bullet Outline 1"/>
    <w:basedOn w:val="Normal"/>
    <w:qFormat/>
    <w:rsid w:val="0016537E"/>
    <w:pPr>
      <w:numPr>
        <w:numId w:val="4"/>
      </w:numPr>
      <w:spacing w:before="240"/>
    </w:pPr>
    <w:rPr>
      <w:rFonts w:ascii="Times New Roman" w:hAnsi="Times New Roman"/>
      <w:sz w:val="24"/>
      <w:lang w:bidi="ar-SA"/>
    </w:rPr>
  </w:style>
  <w:style w:type="paragraph" w:customStyle="1" w:styleId="BulletOutline8">
    <w:name w:val="Bullet Outline 8"/>
    <w:basedOn w:val="Normal"/>
    <w:qFormat/>
    <w:rsid w:val="00192A11"/>
    <w:pPr>
      <w:numPr>
        <w:ilvl w:val="7"/>
        <w:numId w:val="4"/>
      </w:numPr>
    </w:pPr>
    <w:rPr>
      <w:lang w:bidi="ar-SA"/>
    </w:rPr>
  </w:style>
  <w:style w:type="paragraph" w:customStyle="1" w:styleId="FigureCaption">
    <w:name w:val="Figure Caption"/>
    <w:basedOn w:val="Normal"/>
    <w:link w:val="FigureCaptionChar"/>
    <w:qFormat/>
    <w:rsid w:val="007D24C9"/>
    <w:pPr>
      <w:spacing w:before="60"/>
      <w:jc w:val="center"/>
    </w:pPr>
    <w:rPr>
      <w:b/>
      <w:sz w:val="20"/>
      <w:szCs w:val="20"/>
    </w:rPr>
  </w:style>
  <w:style w:type="paragraph" w:customStyle="1" w:styleId="NumberingOutline1">
    <w:name w:val="Numbering Outline 1"/>
    <w:basedOn w:val="Normal"/>
    <w:qFormat/>
    <w:rsid w:val="00EF4D23"/>
    <w:pPr>
      <w:numPr>
        <w:ilvl w:val="1"/>
        <w:numId w:val="11"/>
      </w:numPr>
      <w:spacing w:before="200" w:line="264" w:lineRule="auto"/>
    </w:pPr>
    <w:rPr>
      <w:lang w:bidi="ar-SA"/>
    </w:rPr>
  </w:style>
  <w:style w:type="paragraph" w:styleId="BodyText">
    <w:name w:val="Body Text"/>
    <w:aliases w:val="Text"/>
    <w:basedOn w:val="Normal"/>
    <w:link w:val="BodyTextChar"/>
    <w:uiPriority w:val="99"/>
    <w:semiHidden/>
    <w:unhideWhenUsed/>
    <w:rsid w:val="00192A11"/>
    <w:pPr>
      <w:spacing w:after="120"/>
    </w:pPr>
  </w:style>
  <w:style w:type="character" w:customStyle="1" w:styleId="BodyTextChar">
    <w:name w:val="Body Text Char"/>
    <w:aliases w:val="Text Char"/>
    <w:basedOn w:val="DefaultParagraphFont"/>
    <w:link w:val="BodyText"/>
    <w:uiPriority w:val="99"/>
    <w:semiHidden/>
    <w:rsid w:val="00192A11"/>
    <w:rPr>
      <w:rFonts w:ascii="Arial" w:hAnsi="Arial"/>
      <w:lang w:bidi="en-US"/>
    </w:rPr>
  </w:style>
  <w:style w:type="character" w:styleId="PlaceholderText">
    <w:name w:val="Placeholder Text"/>
    <w:basedOn w:val="DefaultParagraphFont"/>
    <w:uiPriority w:val="99"/>
    <w:semiHidden/>
    <w:rsid w:val="00192A11"/>
    <w:rPr>
      <w:color w:val="808080"/>
    </w:rPr>
  </w:style>
  <w:style w:type="paragraph" w:customStyle="1" w:styleId="boldblackheader">
    <w:name w:val="bold black header"/>
    <w:basedOn w:val="Normal"/>
    <w:rsid w:val="00192A11"/>
    <w:rPr>
      <w:rFonts w:cs="Arial"/>
      <w:b/>
      <w:szCs w:val="20"/>
    </w:rPr>
  </w:style>
  <w:style w:type="paragraph" w:customStyle="1" w:styleId="bullet">
    <w:name w:val="bullet"/>
    <w:basedOn w:val="mainbodytext"/>
    <w:qFormat/>
    <w:rsid w:val="0031372B"/>
    <w:pPr>
      <w:numPr>
        <w:numId w:val="3"/>
      </w:numPr>
      <w:spacing w:before="200" w:after="120"/>
    </w:pPr>
  </w:style>
  <w:style w:type="paragraph" w:customStyle="1" w:styleId="namerole">
    <w:name w:val="name/role"/>
    <w:basedOn w:val="mainbodytext"/>
    <w:qFormat/>
    <w:rsid w:val="00192A11"/>
    <w:rPr>
      <w:sz w:val="20"/>
      <w:szCs w:val="20"/>
    </w:rPr>
  </w:style>
  <w:style w:type="paragraph" w:customStyle="1" w:styleId="MainTitle">
    <w:name w:val="Main Title"/>
    <w:basedOn w:val="Subtitle"/>
    <w:rsid w:val="00192A11"/>
    <w:rPr>
      <w:b/>
      <w:i w:val="0"/>
      <w:sz w:val="64"/>
      <w:szCs w:val="64"/>
    </w:rPr>
  </w:style>
  <w:style w:type="paragraph" w:customStyle="1" w:styleId="Footer1">
    <w:name w:val="Footer1"/>
    <w:basedOn w:val="NormalWeb"/>
    <w:qFormat/>
    <w:rsid w:val="00192A11"/>
    <w:pPr>
      <w:spacing w:after="0" w:afterAutospacing="0"/>
      <w:jc w:val="center"/>
    </w:pPr>
    <w:rPr>
      <w:rFonts w:ascii="Arial" w:hAnsi="Arial" w:cs="Arial"/>
      <w:color w:val="000000" w:themeColor="text1"/>
      <w:kern w:val="24"/>
      <w:sz w:val="17"/>
      <w:szCs w:val="17"/>
    </w:rPr>
  </w:style>
  <w:style w:type="paragraph" w:customStyle="1" w:styleId="BulletOutline2">
    <w:name w:val="Bullet Outline 2"/>
    <w:basedOn w:val="Normal"/>
    <w:qFormat/>
    <w:rsid w:val="00192A11"/>
    <w:pPr>
      <w:numPr>
        <w:ilvl w:val="1"/>
        <w:numId w:val="4"/>
      </w:numPr>
    </w:pPr>
    <w:rPr>
      <w:lang w:bidi="ar-SA"/>
    </w:rPr>
  </w:style>
  <w:style w:type="paragraph" w:customStyle="1" w:styleId="BulletOutline3">
    <w:name w:val="Bullet Outline 3"/>
    <w:basedOn w:val="Normal"/>
    <w:qFormat/>
    <w:rsid w:val="00192A11"/>
    <w:pPr>
      <w:numPr>
        <w:ilvl w:val="2"/>
        <w:numId w:val="4"/>
      </w:numPr>
    </w:pPr>
    <w:rPr>
      <w:rFonts w:eastAsiaTheme="majorEastAsia" w:cstheme="majorBidi"/>
      <w:iCs/>
      <w:spacing w:val="15"/>
      <w:szCs w:val="24"/>
      <w:lang w:bidi="ar-SA"/>
    </w:rPr>
  </w:style>
  <w:style w:type="paragraph" w:customStyle="1" w:styleId="BulletOutline4">
    <w:name w:val="Bullet Outline 4"/>
    <w:basedOn w:val="Normal"/>
    <w:qFormat/>
    <w:rsid w:val="00192A11"/>
    <w:pPr>
      <w:numPr>
        <w:ilvl w:val="3"/>
        <w:numId w:val="4"/>
      </w:numPr>
    </w:pPr>
    <w:rPr>
      <w:lang w:bidi="ar-SA"/>
    </w:rPr>
  </w:style>
  <w:style w:type="paragraph" w:customStyle="1" w:styleId="BulletOutline5">
    <w:name w:val="Bullet Outline 5"/>
    <w:basedOn w:val="Normal"/>
    <w:qFormat/>
    <w:rsid w:val="00192A11"/>
    <w:pPr>
      <w:numPr>
        <w:ilvl w:val="4"/>
        <w:numId w:val="4"/>
      </w:numPr>
    </w:pPr>
    <w:rPr>
      <w:lang w:bidi="ar-SA"/>
    </w:rPr>
  </w:style>
  <w:style w:type="paragraph" w:customStyle="1" w:styleId="BulletOutline6">
    <w:name w:val="Bullet Outline 6"/>
    <w:basedOn w:val="Normal"/>
    <w:qFormat/>
    <w:rsid w:val="00192A11"/>
    <w:pPr>
      <w:numPr>
        <w:ilvl w:val="5"/>
        <w:numId w:val="4"/>
      </w:numPr>
    </w:pPr>
    <w:rPr>
      <w:lang w:bidi="ar-SA"/>
    </w:rPr>
  </w:style>
  <w:style w:type="paragraph" w:customStyle="1" w:styleId="BulletOutline7">
    <w:name w:val="Bullet Outline 7"/>
    <w:basedOn w:val="Normal"/>
    <w:qFormat/>
    <w:rsid w:val="0031372B"/>
    <w:pPr>
      <w:numPr>
        <w:ilvl w:val="6"/>
        <w:numId w:val="4"/>
      </w:numPr>
      <w:spacing w:before="200" w:after="120"/>
    </w:pPr>
    <w:rPr>
      <w:lang w:bidi="ar-SA"/>
    </w:rPr>
  </w:style>
  <w:style w:type="paragraph" w:customStyle="1" w:styleId="TableCaption">
    <w:name w:val="Table Caption"/>
    <w:basedOn w:val="Normal"/>
    <w:link w:val="TableCaptionChar"/>
    <w:qFormat/>
    <w:rsid w:val="00725031"/>
    <w:pPr>
      <w:spacing w:after="60"/>
    </w:pPr>
    <w:rPr>
      <w:b/>
      <w:sz w:val="20"/>
    </w:rPr>
  </w:style>
  <w:style w:type="character" w:customStyle="1" w:styleId="FigureCaptionChar">
    <w:name w:val="Figure Caption Char"/>
    <w:basedOn w:val="DefaultParagraphFont"/>
    <w:link w:val="FigureCaption"/>
    <w:rsid w:val="007D24C9"/>
    <w:rPr>
      <w:rFonts w:ascii="Arial" w:hAnsi="Arial"/>
      <w:b/>
      <w:sz w:val="20"/>
      <w:szCs w:val="20"/>
      <w:lang w:bidi="en-US"/>
    </w:rPr>
  </w:style>
  <w:style w:type="character" w:customStyle="1" w:styleId="TableCaptionChar">
    <w:name w:val="Table Caption Char"/>
    <w:basedOn w:val="DefaultParagraphFont"/>
    <w:link w:val="TableCaption"/>
    <w:rsid w:val="00725031"/>
    <w:rPr>
      <w:rFonts w:ascii="Calibri" w:hAnsi="Calibri"/>
      <w:b/>
      <w:sz w:val="20"/>
      <w:lang w:bidi="en-US"/>
    </w:rPr>
  </w:style>
  <w:style w:type="paragraph" w:customStyle="1" w:styleId="NumberingOutline3">
    <w:name w:val="Numbering Outline 3"/>
    <w:basedOn w:val="Normal"/>
    <w:next w:val="BulletOutline4"/>
    <w:qFormat/>
    <w:rsid w:val="00EF4D23"/>
    <w:pPr>
      <w:numPr>
        <w:ilvl w:val="3"/>
        <w:numId w:val="11"/>
      </w:numPr>
    </w:pPr>
    <w:rPr>
      <w:lang w:bidi="ar-SA"/>
    </w:rPr>
  </w:style>
  <w:style w:type="paragraph" w:customStyle="1" w:styleId="NumberingOutline4">
    <w:name w:val="Numbering Outline 4"/>
    <w:basedOn w:val="Normal"/>
    <w:next w:val="BulletOutline5"/>
    <w:qFormat/>
    <w:rsid w:val="00192A11"/>
    <w:pPr>
      <w:numPr>
        <w:ilvl w:val="4"/>
        <w:numId w:val="11"/>
      </w:numPr>
    </w:pPr>
    <w:rPr>
      <w:lang w:bidi="ar-SA"/>
    </w:rPr>
  </w:style>
  <w:style w:type="paragraph" w:customStyle="1" w:styleId="NumberingOutline6">
    <w:name w:val="Numbering Outline 6"/>
    <w:basedOn w:val="Normal"/>
    <w:next w:val="NumberingOutline7"/>
    <w:qFormat/>
    <w:rsid w:val="00192A11"/>
    <w:pPr>
      <w:numPr>
        <w:ilvl w:val="6"/>
        <w:numId w:val="11"/>
      </w:numPr>
    </w:pPr>
    <w:rPr>
      <w:lang w:bidi="ar-SA"/>
    </w:rPr>
  </w:style>
  <w:style w:type="paragraph" w:customStyle="1" w:styleId="NumberingOutline8">
    <w:name w:val="Numbering Outline 8"/>
    <w:basedOn w:val="Normal"/>
    <w:next w:val="Normal"/>
    <w:qFormat/>
    <w:rsid w:val="00192A11"/>
    <w:pPr>
      <w:numPr>
        <w:ilvl w:val="8"/>
        <w:numId w:val="11"/>
      </w:numPr>
    </w:pPr>
    <w:rPr>
      <w:lang w:bidi="ar-SA"/>
    </w:rPr>
  </w:style>
  <w:style w:type="paragraph" w:customStyle="1" w:styleId="NumberingOutline2">
    <w:name w:val="Numbering Outline 2"/>
    <w:basedOn w:val="NumberingOutline1"/>
    <w:next w:val="BulletOutline3"/>
    <w:qFormat/>
    <w:rsid w:val="00EF4D23"/>
    <w:pPr>
      <w:numPr>
        <w:ilvl w:val="2"/>
      </w:numPr>
      <w:spacing w:before="0"/>
    </w:pPr>
  </w:style>
  <w:style w:type="paragraph" w:customStyle="1" w:styleId="NumberingOutline5">
    <w:name w:val="Numbering Outline 5"/>
    <w:basedOn w:val="Normal"/>
    <w:next w:val="BulletOutline6"/>
    <w:qFormat/>
    <w:rsid w:val="00192A11"/>
    <w:pPr>
      <w:numPr>
        <w:ilvl w:val="5"/>
        <w:numId w:val="11"/>
      </w:numPr>
    </w:pPr>
    <w:rPr>
      <w:lang w:bidi="ar-SA"/>
    </w:rPr>
  </w:style>
  <w:style w:type="paragraph" w:customStyle="1" w:styleId="NumberingOutline7">
    <w:name w:val="Numbering Outline 7"/>
    <w:basedOn w:val="Normal"/>
    <w:next w:val="NumberingOutline8"/>
    <w:qFormat/>
    <w:rsid w:val="00192A11"/>
    <w:pPr>
      <w:numPr>
        <w:ilvl w:val="7"/>
        <w:numId w:val="11"/>
      </w:numPr>
    </w:pPr>
    <w:rPr>
      <w:lang w:bidi="ar-SA"/>
    </w:rPr>
  </w:style>
  <w:style w:type="character" w:styleId="PageNumber">
    <w:name w:val="page number"/>
    <w:basedOn w:val="DefaultParagraphFont"/>
    <w:rsid w:val="00290DF0"/>
  </w:style>
  <w:style w:type="character" w:styleId="CommentReference">
    <w:name w:val="annotation reference"/>
    <w:basedOn w:val="DefaultParagraphFont"/>
    <w:uiPriority w:val="99"/>
    <w:unhideWhenUsed/>
    <w:qFormat/>
    <w:rsid w:val="00FA05C0"/>
    <w:rPr>
      <w:sz w:val="16"/>
      <w:szCs w:val="16"/>
    </w:rPr>
  </w:style>
  <w:style w:type="paragraph" w:styleId="CommentText">
    <w:name w:val="annotation text"/>
    <w:basedOn w:val="Normal"/>
    <w:link w:val="CommentTextChar"/>
    <w:uiPriority w:val="99"/>
    <w:unhideWhenUsed/>
    <w:qFormat/>
    <w:rsid w:val="00FA05C0"/>
    <w:rPr>
      <w:sz w:val="20"/>
      <w:szCs w:val="20"/>
    </w:rPr>
  </w:style>
  <w:style w:type="character" w:customStyle="1" w:styleId="CommentTextChar">
    <w:name w:val="Comment Text Char"/>
    <w:basedOn w:val="DefaultParagraphFont"/>
    <w:link w:val="CommentText"/>
    <w:uiPriority w:val="99"/>
    <w:rsid w:val="00FA05C0"/>
    <w:rPr>
      <w:rFonts w:ascii="Arial" w:hAnsi="Arial"/>
      <w:sz w:val="20"/>
      <w:szCs w:val="20"/>
      <w:lang w:bidi="en-US"/>
    </w:rPr>
  </w:style>
  <w:style w:type="paragraph" w:styleId="CommentSubject">
    <w:name w:val="annotation subject"/>
    <w:basedOn w:val="CommentText"/>
    <w:next w:val="CommentText"/>
    <w:link w:val="CommentSubjectChar"/>
    <w:uiPriority w:val="99"/>
    <w:semiHidden/>
    <w:unhideWhenUsed/>
    <w:rsid w:val="00FA05C0"/>
    <w:rPr>
      <w:b/>
      <w:bCs/>
    </w:rPr>
  </w:style>
  <w:style w:type="character" w:customStyle="1" w:styleId="CommentSubjectChar">
    <w:name w:val="Comment Subject Char"/>
    <w:basedOn w:val="CommentTextChar"/>
    <w:link w:val="CommentSubject"/>
    <w:uiPriority w:val="99"/>
    <w:semiHidden/>
    <w:rsid w:val="00FA05C0"/>
    <w:rPr>
      <w:rFonts w:ascii="Arial" w:hAnsi="Arial"/>
      <w:b/>
      <w:bCs/>
      <w:sz w:val="20"/>
      <w:szCs w:val="20"/>
      <w:lang w:bidi="en-US"/>
    </w:rPr>
  </w:style>
  <w:style w:type="paragraph" w:customStyle="1" w:styleId="ReferencesText">
    <w:name w:val="References Text"/>
    <w:basedOn w:val="Normal"/>
    <w:link w:val="ReferencesTextChar"/>
    <w:qFormat/>
    <w:rsid w:val="006A0A8C"/>
    <w:pPr>
      <w:spacing w:before="120"/>
      <w:ind w:left="720" w:hanging="720"/>
    </w:pPr>
  </w:style>
  <w:style w:type="character" w:customStyle="1" w:styleId="ReferencesTextChar">
    <w:name w:val="References Text Char"/>
    <w:basedOn w:val="DefaultParagraphFont"/>
    <w:link w:val="ReferencesText"/>
    <w:rsid w:val="006A0A8C"/>
    <w:rPr>
      <w:rFonts w:ascii="Calibri" w:hAnsi="Calibri"/>
      <w:lang w:bidi="en-US"/>
    </w:rPr>
  </w:style>
  <w:style w:type="paragraph" w:styleId="ListBullet">
    <w:name w:val="List Bullet"/>
    <w:basedOn w:val="BodyText"/>
    <w:uiPriority w:val="99"/>
    <w:qFormat/>
    <w:rsid w:val="00FE7F89"/>
    <w:pPr>
      <w:numPr>
        <w:numId w:val="10"/>
      </w:numPr>
      <w:tabs>
        <w:tab w:val="num" w:pos="360"/>
      </w:tabs>
      <w:spacing w:before="120" w:after="0" w:line="264" w:lineRule="auto"/>
    </w:pPr>
    <w:rPr>
      <w:rFonts w:asciiTheme="minorHAnsi" w:eastAsiaTheme="minorEastAsia" w:hAnsiTheme="minorHAnsi"/>
      <w:color w:val="335B74" w:themeColor="text2"/>
      <w:sz w:val="21"/>
      <w:szCs w:val="21"/>
    </w:rPr>
  </w:style>
  <w:style w:type="paragraph" w:styleId="ListBullet2">
    <w:name w:val="List Bullet 2"/>
    <w:basedOn w:val="ListBullet"/>
    <w:uiPriority w:val="99"/>
    <w:qFormat/>
    <w:rsid w:val="00FE7F89"/>
    <w:pPr>
      <w:numPr>
        <w:ilvl w:val="1"/>
      </w:numPr>
      <w:tabs>
        <w:tab w:val="clear" w:pos="1080"/>
        <w:tab w:val="num" w:pos="360"/>
      </w:tabs>
    </w:pPr>
  </w:style>
  <w:style w:type="paragraph" w:styleId="ListBullet3">
    <w:name w:val="List Bullet 3"/>
    <w:basedOn w:val="ListBullet"/>
    <w:uiPriority w:val="99"/>
    <w:qFormat/>
    <w:rsid w:val="00FE7F89"/>
    <w:pPr>
      <w:numPr>
        <w:ilvl w:val="2"/>
      </w:numPr>
      <w:tabs>
        <w:tab w:val="clear" w:pos="1440"/>
        <w:tab w:val="num" w:pos="360"/>
      </w:tabs>
    </w:pPr>
  </w:style>
  <w:style w:type="paragraph" w:styleId="ListBullet4">
    <w:name w:val="List Bullet 4"/>
    <w:basedOn w:val="ListBullet2"/>
    <w:uiPriority w:val="99"/>
    <w:qFormat/>
    <w:rsid w:val="00FE7F89"/>
    <w:pPr>
      <w:numPr>
        <w:ilvl w:val="3"/>
      </w:numPr>
      <w:tabs>
        <w:tab w:val="clear" w:pos="1800"/>
        <w:tab w:val="num" w:pos="360"/>
      </w:tabs>
    </w:pPr>
  </w:style>
  <w:style w:type="paragraph" w:styleId="ListBullet5">
    <w:name w:val="List Bullet 5"/>
    <w:basedOn w:val="ListBullet"/>
    <w:uiPriority w:val="99"/>
    <w:qFormat/>
    <w:rsid w:val="00FE7F89"/>
    <w:pPr>
      <w:numPr>
        <w:ilvl w:val="4"/>
      </w:numPr>
      <w:tabs>
        <w:tab w:val="clear" w:pos="2160"/>
        <w:tab w:val="num" w:pos="360"/>
      </w:tabs>
    </w:pPr>
  </w:style>
  <w:style w:type="numbering" w:customStyle="1" w:styleId="ICFJSListBullet">
    <w:name w:val="ICF J&amp;S List Bullet"/>
    <w:uiPriority w:val="99"/>
    <w:rsid w:val="00FE7F89"/>
    <w:pPr>
      <w:numPr>
        <w:numId w:val="9"/>
      </w:numPr>
    </w:pPr>
  </w:style>
  <w:style w:type="paragraph" w:styleId="ListNumber">
    <w:name w:val="List Number"/>
    <w:basedOn w:val="BodyText"/>
    <w:uiPriority w:val="99"/>
    <w:qFormat/>
    <w:rsid w:val="00A26DDD"/>
    <w:pPr>
      <w:numPr>
        <w:numId w:val="15"/>
      </w:numPr>
      <w:tabs>
        <w:tab w:val="clear" w:pos="720"/>
        <w:tab w:val="num" w:pos="360"/>
      </w:tabs>
      <w:spacing w:before="120" w:after="0" w:line="264" w:lineRule="auto"/>
    </w:pPr>
    <w:rPr>
      <w:rFonts w:asciiTheme="minorHAnsi" w:eastAsiaTheme="minorEastAsia" w:hAnsiTheme="minorHAnsi"/>
      <w:color w:val="335B74" w:themeColor="text2"/>
      <w:sz w:val="21"/>
      <w:szCs w:val="21"/>
    </w:rPr>
  </w:style>
  <w:style w:type="paragraph" w:styleId="ListNumber2">
    <w:name w:val="List Number 2"/>
    <w:basedOn w:val="ListNumber"/>
    <w:uiPriority w:val="99"/>
    <w:qFormat/>
    <w:rsid w:val="00A26DDD"/>
    <w:pPr>
      <w:numPr>
        <w:ilvl w:val="1"/>
      </w:numPr>
      <w:tabs>
        <w:tab w:val="clear" w:pos="1080"/>
        <w:tab w:val="num" w:pos="360"/>
      </w:tabs>
    </w:pPr>
  </w:style>
  <w:style w:type="paragraph" w:styleId="ListNumber3">
    <w:name w:val="List Number 3"/>
    <w:basedOn w:val="ListNumber"/>
    <w:uiPriority w:val="99"/>
    <w:qFormat/>
    <w:rsid w:val="00A26DDD"/>
    <w:pPr>
      <w:numPr>
        <w:ilvl w:val="2"/>
      </w:numPr>
      <w:tabs>
        <w:tab w:val="clear" w:pos="1440"/>
        <w:tab w:val="num" w:pos="360"/>
      </w:tabs>
    </w:pPr>
  </w:style>
  <w:style w:type="paragraph" w:styleId="ListNumber4">
    <w:name w:val="List Number 4"/>
    <w:basedOn w:val="ListNumber"/>
    <w:uiPriority w:val="99"/>
    <w:qFormat/>
    <w:rsid w:val="00A26DDD"/>
    <w:pPr>
      <w:numPr>
        <w:ilvl w:val="3"/>
      </w:numPr>
      <w:tabs>
        <w:tab w:val="clear" w:pos="1800"/>
        <w:tab w:val="num" w:pos="360"/>
      </w:tabs>
    </w:pPr>
  </w:style>
  <w:style w:type="paragraph" w:styleId="ListNumber5">
    <w:name w:val="List Number 5"/>
    <w:basedOn w:val="ListNumber"/>
    <w:uiPriority w:val="99"/>
    <w:qFormat/>
    <w:rsid w:val="00A26DDD"/>
    <w:pPr>
      <w:numPr>
        <w:ilvl w:val="4"/>
      </w:numPr>
      <w:tabs>
        <w:tab w:val="clear" w:pos="2160"/>
        <w:tab w:val="num" w:pos="360"/>
      </w:tabs>
    </w:pPr>
    <w:rPr>
      <w:rFonts w:ascii="Cambria" w:hAnsi="Cambria"/>
    </w:rPr>
  </w:style>
  <w:style w:type="numbering" w:customStyle="1" w:styleId="ICFJSListNumber">
    <w:name w:val="ICF J&amp;S List Number"/>
    <w:uiPriority w:val="99"/>
    <w:rsid w:val="00A26DDD"/>
    <w:pPr>
      <w:numPr>
        <w:numId w:val="12"/>
      </w:numPr>
    </w:pPr>
  </w:style>
  <w:style w:type="paragraph" w:styleId="FootnoteText">
    <w:name w:val="footnote text"/>
    <w:basedOn w:val="Normal"/>
    <w:link w:val="FootnoteTextChar"/>
    <w:uiPriority w:val="99"/>
    <w:unhideWhenUsed/>
    <w:qFormat/>
    <w:rsid w:val="00E77553"/>
    <w:pPr>
      <w:spacing w:before="20" w:after="0"/>
    </w:pPr>
    <w:rPr>
      <w:rFonts w:ascii="Cambria" w:eastAsiaTheme="minorEastAsia" w:hAnsi="Cambria"/>
      <w:color w:val="335B74" w:themeColor="text2"/>
      <w:sz w:val="19"/>
      <w:szCs w:val="19"/>
    </w:rPr>
  </w:style>
  <w:style w:type="character" w:customStyle="1" w:styleId="FootnoteTextChar">
    <w:name w:val="Footnote Text Char"/>
    <w:basedOn w:val="DefaultParagraphFont"/>
    <w:link w:val="FootnoteText"/>
    <w:uiPriority w:val="99"/>
    <w:rsid w:val="00E77553"/>
    <w:rPr>
      <w:rFonts w:ascii="Cambria" w:eastAsiaTheme="minorEastAsia" w:hAnsi="Cambria"/>
      <w:color w:val="335B74" w:themeColor="text2"/>
      <w:sz w:val="19"/>
      <w:szCs w:val="19"/>
      <w:lang w:bidi="en-US"/>
    </w:rPr>
  </w:style>
  <w:style w:type="character" w:styleId="FootnoteReference">
    <w:name w:val="footnote reference"/>
    <w:basedOn w:val="DefaultParagraphFont"/>
    <w:uiPriority w:val="99"/>
    <w:unhideWhenUsed/>
    <w:qFormat/>
    <w:rsid w:val="00E77553"/>
    <w:rPr>
      <w:color w:val="335B74" w:themeColor="text2"/>
      <w:sz w:val="21"/>
      <w:szCs w:val="21"/>
      <w:vertAlign w:val="superscript"/>
    </w:rPr>
  </w:style>
  <w:style w:type="paragraph" w:customStyle="1" w:styleId="TableText0">
    <w:name w:val="Table Text"/>
    <w:basedOn w:val="BodyText"/>
    <w:link w:val="TableTextChar"/>
    <w:qFormat/>
    <w:rsid w:val="00050C42"/>
    <w:pPr>
      <w:keepNext/>
      <w:spacing w:before="30" w:after="30"/>
    </w:pPr>
    <w:rPr>
      <w:rFonts w:eastAsiaTheme="minorEastAsia"/>
      <w:sz w:val="20"/>
      <w:szCs w:val="20"/>
    </w:rPr>
  </w:style>
  <w:style w:type="paragraph" w:customStyle="1" w:styleId="TableTitle">
    <w:name w:val="Table Title"/>
    <w:next w:val="TableText0"/>
    <w:link w:val="TableTitleChar"/>
    <w:qFormat/>
    <w:rsid w:val="007A1FF5"/>
    <w:pPr>
      <w:keepNext/>
      <w:keepLines/>
      <w:spacing w:before="240" w:after="120" w:line="240" w:lineRule="auto"/>
    </w:pPr>
    <w:rPr>
      <w:rFonts w:ascii="Calibri" w:eastAsiaTheme="majorEastAsia" w:hAnsi="Calibri" w:cstheme="majorBidi"/>
      <w:b/>
      <w:bCs/>
      <w:iCs/>
      <w:sz w:val="20"/>
      <w:lang w:bidi="en-US"/>
    </w:rPr>
  </w:style>
  <w:style w:type="paragraph" w:customStyle="1" w:styleId="TableNotes">
    <w:name w:val="Table Notes"/>
    <w:basedOn w:val="TableText0"/>
    <w:qFormat/>
    <w:rsid w:val="005360EE"/>
    <w:pPr>
      <w:keepNext w:val="0"/>
      <w:widowControl w:val="0"/>
      <w:spacing w:after="120"/>
      <w:contextualSpacing/>
    </w:pPr>
    <w:rPr>
      <w:rFonts w:eastAsia="Calibri" w:cs="Times New Roman"/>
      <w:sz w:val="18"/>
      <w:szCs w:val="24"/>
      <w:lang w:bidi="ar-SA"/>
    </w:rPr>
  </w:style>
  <w:style w:type="character" w:customStyle="1" w:styleId="TableTextChar">
    <w:name w:val="Table Text Char"/>
    <w:link w:val="TableText0"/>
    <w:locked/>
    <w:rsid w:val="00050C42"/>
    <w:rPr>
      <w:rFonts w:ascii="Calibri" w:eastAsiaTheme="minorEastAsia" w:hAnsi="Calibri"/>
      <w:sz w:val="20"/>
      <w:szCs w:val="20"/>
      <w:lang w:bidi="en-US"/>
    </w:rPr>
  </w:style>
  <w:style w:type="character" w:customStyle="1" w:styleId="TableTitleChar">
    <w:name w:val="Table Title Char"/>
    <w:link w:val="TableTitle"/>
    <w:locked/>
    <w:rsid w:val="007A1FF5"/>
    <w:rPr>
      <w:rFonts w:ascii="Calibri" w:eastAsiaTheme="majorEastAsia" w:hAnsi="Calibri" w:cstheme="majorBidi"/>
      <w:b/>
      <w:bCs/>
      <w:iCs/>
      <w:sz w:val="20"/>
      <w:lang w:bidi="en-US"/>
    </w:rPr>
  </w:style>
  <w:style w:type="character" w:styleId="Hyperlink">
    <w:name w:val="Hyperlink"/>
    <w:basedOn w:val="DefaultParagraphFont"/>
    <w:uiPriority w:val="99"/>
    <w:unhideWhenUsed/>
    <w:rsid w:val="00584578"/>
    <w:rPr>
      <w:color w:val="6EAC1C" w:themeColor="hyperlink"/>
      <w:u w:val="single"/>
    </w:rPr>
  </w:style>
  <w:style w:type="paragraph" w:styleId="Revision">
    <w:name w:val="Revision"/>
    <w:hidden/>
    <w:uiPriority w:val="99"/>
    <w:semiHidden/>
    <w:rsid w:val="00E20CFB"/>
    <w:pPr>
      <w:spacing w:after="0" w:line="240" w:lineRule="auto"/>
    </w:pPr>
    <w:rPr>
      <w:rFonts w:ascii="Calibri" w:hAnsi="Calibri"/>
      <w:lang w:bidi="en-US"/>
    </w:rPr>
  </w:style>
  <w:style w:type="character" w:customStyle="1" w:styleId="CaptionChar">
    <w:name w:val="Caption Char"/>
    <w:aliases w:val="Caption SWS Style Char,Tables Char,Caption Char Char Char,Caption SWS Style Char Char Char,Caption Char1 Char1 Char Char,Caption Char Char Char1 Char Char,Caption Char1 Char Char Char Char Char,Caption Char Char Char Char Char Char Char"/>
    <w:link w:val="Caption"/>
    <w:locked/>
    <w:rsid w:val="004C5349"/>
    <w:rPr>
      <w:rFonts w:ascii="Calibri" w:hAnsi="Calibri"/>
      <w:b/>
      <w:bCs/>
      <w:caps/>
      <w:sz w:val="16"/>
      <w:szCs w:val="18"/>
      <w:lang w:bidi="en-US"/>
    </w:rPr>
  </w:style>
  <w:style w:type="paragraph" w:customStyle="1" w:styleId="TableColumnHeading">
    <w:name w:val="Table Column Heading"/>
    <w:basedOn w:val="Normal"/>
    <w:uiPriority w:val="4"/>
    <w:rsid w:val="004C5349"/>
    <w:pPr>
      <w:keepNext/>
      <w:spacing w:before="20" w:after="40"/>
    </w:pPr>
    <w:rPr>
      <w:b/>
      <w:sz w:val="20"/>
    </w:rPr>
  </w:style>
  <w:style w:type="character" w:customStyle="1" w:styleId="Superscript">
    <w:name w:val="Superscript"/>
    <w:uiPriority w:val="1"/>
    <w:qFormat/>
    <w:rsid w:val="004C5349"/>
    <w:rPr>
      <w:noProof/>
      <w:vertAlign w:val="superscript"/>
    </w:rPr>
  </w:style>
  <w:style w:type="paragraph" w:customStyle="1" w:styleId="TableRow">
    <w:name w:val="Table Row"/>
    <w:basedOn w:val="Normal"/>
    <w:qFormat/>
    <w:rsid w:val="004C5349"/>
    <w:pPr>
      <w:keepNext/>
      <w:suppressAutoHyphens/>
      <w:spacing w:before="20" w:after="40"/>
    </w:pPr>
    <w:rPr>
      <w:rFonts w:asciiTheme="minorHAnsi" w:eastAsia="Times New Roman" w:hAnsiTheme="minorHAnsi" w:cs="Calibri"/>
      <w:b/>
      <w:sz w:val="20"/>
      <w:szCs w:val="18"/>
      <w:lang w:bidi="ar-SA"/>
    </w:rPr>
  </w:style>
  <w:style w:type="character" w:customStyle="1" w:styleId="primary-heading">
    <w:name w:val="primary-heading"/>
    <w:basedOn w:val="DefaultParagraphFont"/>
    <w:rsid w:val="005B772B"/>
  </w:style>
  <w:style w:type="character" w:customStyle="1" w:styleId="accordion-tabbedtab-mobile">
    <w:name w:val="accordion-tabbed__tab-mobile"/>
    <w:basedOn w:val="DefaultParagraphFont"/>
    <w:rsid w:val="005B772B"/>
  </w:style>
  <w:style w:type="character" w:customStyle="1" w:styleId="comma-separator">
    <w:name w:val="comma-separator"/>
    <w:basedOn w:val="DefaultParagraphFont"/>
    <w:rsid w:val="005B772B"/>
  </w:style>
  <w:style w:type="character" w:customStyle="1" w:styleId="epub-state">
    <w:name w:val="epub-state"/>
    <w:basedOn w:val="DefaultParagraphFont"/>
    <w:rsid w:val="005B772B"/>
  </w:style>
  <w:style w:type="character" w:customStyle="1" w:styleId="epub-date">
    <w:name w:val="epub-date"/>
    <w:basedOn w:val="DefaultParagraphFont"/>
    <w:rsid w:val="005B772B"/>
  </w:style>
  <w:style w:type="paragraph" w:customStyle="1" w:styleId="Citation">
    <w:name w:val="Citation"/>
    <w:basedOn w:val="BodyText"/>
    <w:link w:val="CitationChar"/>
    <w:uiPriority w:val="9"/>
    <w:qFormat/>
    <w:rsid w:val="00827480"/>
    <w:pPr>
      <w:spacing w:before="160" w:after="0" w:line="264" w:lineRule="auto"/>
      <w:ind w:left="720" w:hanging="720"/>
    </w:pPr>
    <w:rPr>
      <w:rFonts w:ascii="Times New Roman" w:eastAsiaTheme="minorEastAsia" w:hAnsi="Times New Roman"/>
      <w:sz w:val="24"/>
      <w:szCs w:val="21"/>
    </w:rPr>
  </w:style>
  <w:style w:type="character" w:customStyle="1" w:styleId="CitationChar">
    <w:name w:val="Citation Char"/>
    <w:link w:val="Citation"/>
    <w:uiPriority w:val="9"/>
    <w:rsid w:val="00827480"/>
    <w:rPr>
      <w:rFonts w:ascii="Times New Roman" w:eastAsiaTheme="minorEastAsia" w:hAnsi="Times New Roman"/>
      <w:sz w:val="24"/>
      <w:szCs w:val="21"/>
      <w:lang w:bidi="en-US"/>
    </w:rPr>
  </w:style>
  <w:style w:type="character" w:styleId="UnresolvedMention">
    <w:name w:val="Unresolved Mention"/>
    <w:basedOn w:val="DefaultParagraphFont"/>
    <w:uiPriority w:val="99"/>
    <w:semiHidden/>
    <w:unhideWhenUsed/>
    <w:rsid w:val="0033328D"/>
    <w:rPr>
      <w:color w:val="605E5C"/>
      <w:shd w:val="clear" w:color="auto" w:fill="E1DFDD"/>
    </w:rPr>
  </w:style>
  <w:style w:type="paragraph" w:styleId="TableofFigures">
    <w:name w:val="table of figures"/>
    <w:basedOn w:val="Normal"/>
    <w:next w:val="Normal"/>
    <w:uiPriority w:val="99"/>
    <w:unhideWhenUsed/>
    <w:rsid w:val="00827480"/>
    <w:pPr>
      <w:spacing w:after="0"/>
    </w:pPr>
  </w:style>
  <w:style w:type="character" w:styleId="Mention">
    <w:name w:val="Mention"/>
    <w:basedOn w:val="DefaultParagraphFont"/>
    <w:uiPriority w:val="99"/>
    <w:unhideWhenUsed/>
    <w:rsid w:val="00C66E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88271">
      <w:bodyDiv w:val="1"/>
      <w:marLeft w:val="0"/>
      <w:marRight w:val="0"/>
      <w:marTop w:val="0"/>
      <w:marBottom w:val="0"/>
      <w:divBdr>
        <w:top w:val="none" w:sz="0" w:space="0" w:color="auto"/>
        <w:left w:val="none" w:sz="0" w:space="0" w:color="auto"/>
        <w:bottom w:val="none" w:sz="0" w:space="0" w:color="auto"/>
        <w:right w:val="none" w:sz="0" w:space="0" w:color="auto"/>
      </w:divBdr>
    </w:div>
    <w:div w:id="712271228">
      <w:bodyDiv w:val="1"/>
      <w:marLeft w:val="0"/>
      <w:marRight w:val="0"/>
      <w:marTop w:val="0"/>
      <w:marBottom w:val="0"/>
      <w:divBdr>
        <w:top w:val="none" w:sz="0" w:space="0" w:color="auto"/>
        <w:left w:val="none" w:sz="0" w:space="0" w:color="auto"/>
        <w:bottom w:val="none" w:sz="0" w:space="0" w:color="auto"/>
        <w:right w:val="none" w:sz="0" w:space="0" w:color="auto"/>
      </w:divBdr>
    </w:div>
    <w:div w:id="769159273">
      <w:bodyDiv w:val="1"/>
      <w:marLeft w:val="0"/>
      <w:marRight w:val="0"/>
      <w:marTop w:val="0"/>
      <w:marBottom w:val="0"/>
      <w:divBdr>
        <w:top w:val="none" w:sz="0" w:space="0" w:color="auto"/>
        <w:left w:val="none" w:sz="0" w:space="0" w:color="auto"/>
        <w:bottom w:val="none" w:sz="0" w:space="0" w:color="auto"/>
        <w:right w:val="none" w:sz="0" w:space="0" w:color="auto"/>
      </w:divBdr>
    </w:div>
    <w:div w:id="822938275">
      <w:bodyDiv w:val="1"/>
      <w:marLeft w:val="0"/>
      <w:marRight w:val="0"/>
      <w:marTop w:val="0"/>
      <w:marBottom w:val="0"/>
      <w:divBdr>
        <w:top w:val="none" w:sz="0" w:space="0" w:color="auto"/>
        <w:left w:val="none" w:sz="0" w:space="0" w:color="auto"/>
        <w:bottom w:val="none" w:sz="0" w:space="0" w:color="auto"/>
        <w:right w:val="none" w:sz="0" w:space="0" w:color="auto"/>
      </w:divBdr>
    </w:div>
    <w:div w:id="1676959515">
      <w:bodyDiv w:val="1"/>
      <w:marLeft w:val="0"/>
      <w:marRight w:val="0"/>
      <w:marTop w:val="0"/>
      <w:marBottom w:val="0"/>
      <w:divBdr>
        <w:top w:val="none" w:sz="0" w:space="0" w:color="auto"/>
        <w:left w:val="none" w:sz="0" w:space="0" w:color="auto"/>
        <w:bottom w:val="none" w:sz="0" w:space="0" w:color="auto"/>
        <w:right w:val="none" w:sz="0" w:space="0" w:color="auto"/>
      </w:divBdr>
      <w:divsChild>
        <w:div w:id="290594237">
          <w:marLeft w:val="0"/>
          <w:marRight w:val="0"/>
          <w:marTop w:val="225"/>
          <w:marBottom w:val="225"/>
          <w:divBdr>
            <w:top w:val="none" w:sz="0" w:space="0" w:color="auto"/>
            <w:left w:val="none" w:sz="0" w:space="0" w:color="auto"/>
            <w:bottom w:val="none" w:sz="0" w:space="0" w:color="auto"/>
            <w:right w:val="none" w:sz="0" w:space="0" w:color="auto"/>
          </w:divBdr>
          <w:divsChild>
            <w:div w:id="1933081295">
              <w:marLeft w:val="0"/>
              <w:marRight w:val="0"/>
              <w:marTop w:val="0"/>
              <w:marBottom w:val="0"/>
              <w:divBdr>
                <w:top w:val="none" w:sz="0" w:space="0" w:color="auto"/>
                <w:left w:val="none" w:sz="0" w:space="0" w:color="auto"/>
                <w:bottom w:val="none" w:sz="0" w:space="0" w:color="auto"/>
                <w:right w:val="none" w:sz="0" w:space="0" w:color="auto"/>
              </w:divBdr>
              <w:divsChild>
                <w:div w:id="3720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3595">
          <w:marLeft w:val="0"/>
          <w:marRight w:val="0"/>
          <w:marTop w:val="150"/>
          <w:marBottom w:val="150"/>
          <w:divBdr>
            <w:top w:val="none" w:sz="0" w:space="0" w:color="auto"/>
            <w:left w:val="none" w:sz="0" w:space="0" w:color="auto"/>
            <w:bottom w:val="none" w:sz="0" w:space="0" w:color="auto"/>
            <w:right w:val="none" w:sz="0" w:space="0" w:color="auto"/>
          </w:divBdr>
          <w:divsChild>
            <w:div w:id="1209368372">
              <w:marLeft w:val="120"/>
              <w:marRight w:val="0"/>
              <w:marTop w:val="0"/>
              <w:marBottom w:val="0"/>
              <w:divBdr>
                <w:top w:val="none" w:sz="0" w:space="0" w:color="auto"/>
                <w:left w:val="single" w:sz="6" w:space="6" w:color="D8D9DA"/>
                <w:bottom w:val="none" w:sz="0" w:space="0" w:color="auto"/>
                <w:right w:val="none" w:sz="0" w:space="0" w:color="auto"/>
              </w:divBdr>
              <w:divsChild>
                <w:div w:id="770399327">
                  <w:marLeft w:val="0"/>
                  <w:marRight w:val="0"/>
                  <w:marTop w:val="0"/>
                  <w:marBottom w:val="0"/>
                  <w:divBdr>
                    <w:top w:val="none" w:sz="0" w:space="0" w:color="auto"/>
                    <w:left w:val="none" w:sz="0" w:space="0" w:color="auto"/>
                    <w:bottom w:val="none" w:sz="0" w:space="0" w:color="auto"/>
                    <w:right w:val="none" w:sz="0" w:space="0" w:color="auto"/>
                  </w:divBdr>
                  <w:divsChild>
                    <w:div w:id="16631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0888">
          <w:marLeft w:val="0"/>
          <w:marRight w:val="0"/>
          <w:marTop w:val="225"/>
          <w:marBottom w:val="225"/>
          <w:divBdr>
            <w:top w:val="none" w:sz="0" w:space="0" w:color="auto"/>
            <w:left w:val="none" w:sz="0" w:space="0" w:color="auto"/>
            <w:bottom w:val="none" w:sz="0" w:space="0" w:color="auto"/>
            <w:right w:val="none" w:sz="0" w:space="0" w:color="auto"/>
          </w:divBdr>
          <w:divsChild>
            <w:div w:id="143591016">
              <w:marLeft w:val="0"/>
              <w:marRight w:val="0"/>
              <w:marTop w:val="0"/>
              <w:marBottom w:val="0"/>
              <w:divBdr>
                <w:top w:val="none" w:sz="0" w:space="0" w:color="auto"/>
                <w:left w:val="none" w:sz="0" w:space="0" w:color="auto"/>
                <w:bottom w:val="none" w:sz="0" w:space="0" w:color="auto"/>
                <w:right w:val="none" w:sz="0" w:space="0" w:color="auto"/>
              </w:divBdr>
              <w:divsChild>
                <w:div w:id="1322154633">
                  <w:marLeft w:val="0"/>
                  <w:marRight w:val="0"/>
                  <w:marTop w:val="0"/>
                  <w:marBottom w:val="0"/>
                  <w:divBdr>
                    <w:top w:val="none" w:sz="0" w:space="0" w:color="auto"/>
                    <w:left w:val="none" w:sz="0" w:space="0" w:color="auto"/>
                    <w:bottom w:val="none" w:sz="0" w:space="0" w:color="auto"/>
                    <w:right w:val="none" w:sz="0" w:space="0" w:color="auto"/>
                  </w:divBdr>
                  <w:divsChild>
                    <w:div w:id="14086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05218">
          <w:marLeft w:val="0"/>
          <w:marRight w:val="0"/>
          <w:marTop w:val="225"/>
          <w:marBottom w:val="225"/>
          <w:divBdr>
            <w:top w:val="none" w:sz="0" w:space="0" w:color="auto"/>
            <w:left w:val="none" w:sz="0" w:space="0" w:color="auto"/>
            <w:bottom w:val="none" w:sz="0" w:space="0" w:color="auto"/>
            <w:right w:val="none" w:sz="0" w:space="0" w:color="auto"/>
          </w:divBdr>
          <w:divsChild>
            <w:div w:id="471218145">
              <w:marLeft w:val="0"/>
              <w:marRight w:val="0"/>
              <w:marTop w:val="0"/>
              <w:marBottom w:val="0"/>
              <w:divBdr>
                <w:top w:val="none" w:sz="0" w:space="0" w:color="auto"/>
                <w:left w:val="none" w:sz="0" w:space="0" w:color="auto"/>
                <w:bottom w:val="none" w:sz="0" w:space="0" w:color="auto"/>
                <w:right w:val="none" w:sz="0" w:space="0" w:color="auto"/>
              </w:divBdr>
            </w:div>
            <w:div w:id="1681394439">
              <w:marLeft w:val="0"/>
              <w:marRight w:val="0"/>
              <w:marTop w:val="0"/>
              <w:marBottom w:val="0"/>
              <w:divBdr>
                <w:top w:val="none" w:sz="0" w:space="0" w:color="auto"/>
                <w:left w:val="none" w:sz="0" w:space="0" w:color="auto"/>
                <w:bottom w:val="none" w:sz="0" w:space="0" w:color="auto"/>
                <w:right w:val="none" w:sz="0" w:space="0" w:color="auto"/>
              </w:divBdr>
            </w:div>
            <w:div w:id="19070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9974">
      <w:bodyDiv w:val="1"/>
      <w:marLeft w:val="0"/>
      <w:marRight w:val="0"/>
      <w:marTop w:val="0"/>
      <w:marBottom w:val="0"/>
      <w:divBdr>
        <w:top w:val="none" w:sz="0" w:space="0" w:color="auto"/>
        <w:left w:val="none" w:sz="0" w:space="0" w:color="auto"/>
        <w:bottom w:val="none" w:sz="0" w:space="0" w:color="auto"/>
        <w:right w:val="none" w:sz="0" w:space="0" w:color="auto"/>
      </w:divBdr>
    </w:div>
    <w:div w:id="1761173364">
      <w:bodyDiv w:val="1"/>
      <w:marLeft w:val="0"/>
      <w:marRight w:val="0"/>
      <w:marTop w:val="0"/>
      <w:marBottom w:val="0"/>
      <w:divBdr>
        <w:top w:val="none" w:sz="0" w:space="0" w:color="auto"/>
        <w:left w:val="none" w:sz="0" w:space="0" w:color="auto"/>
        <w:bottom w:val="none" w:sz="0" w:space="0" w:color="auto"/>
        <w:right w:val="none" w:sz="0" w:space="0" w:color="auto"/>
      </w:divBdr>
    </w:div>
    <w:div w:id="212757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002/NAFM.1074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itesproject.org/revised-draft-environmental-impact-report-supplemental-draft-environmental-impact-statement/"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1002/ecs2.349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34D10A90914735A32DBECB7B44A8ED"/>
        <w:category>
          <w:name w:val="General"/>
          <w:gallery w:val="placeholder"/>
        </w:category>
        <w:types>
          <w:type w:val="bbPlcHdr"/>
        </w:types>
        <w:behaviors>
          <w:behavior w:val="content"/>
        </w:behaviors>
        <w:guid w:val="{8D052FCF-4B6C-4035-A44E-0F4A91A68FA1}"/>
      </w:docPartPr>
      <w:docPartBody>
        <w:p w:rsidR="007E29AC" w:rsidRDefault="007E29AC">
          <w:pPr>
            <w:pStyle w:val="5E34D10A90914735A32DBECB7B44A8ED"/>
          </w:pPr>
          <w:r w:rsidRPr="00B86B4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003"/>
    <w:rsid w:val="002469D0"/>
    <w:rsid w:val="0028459C"/>
    <w:rsid w:val="00291E15"/>
    <w:rsid w:val="00391862"/>
    <w:rsid w:val="004510B6"/>
    <w:rsid w:val="005F4BA7"/>
    <w:rsid w:val="00623E0D"/>
    <w:rsid w:val="0064679E"/>
    <w:rsid w:val="00723234"/>
    <w:rsid w:val="00793C2F"/>
    <w:rsid w:val="007E29AC"/>
    <w:rsid w:val="00875141"/>
    <w:rsid w:val="008A59BA"/>
    <w:rsid w:val="0096628D"/>
    <w:rsid w:val="009752AC"/>
    <w:rsid w:val="00A565C7"/>
    <w:rsid w:val="00AB3A26"/>
    <w:rsid w:val="00B21B27"/>
    <w:rsid w:val="00B655D7"/>
    <w:rsid w:val="00BA474B"/>
    <w:rsid w:val="00C34AA8"/>
    <w:rsid w:val="00CE3003"/>
    <w:rsid w:val="00D74AEB"/>
    <w:rsid w:val="00DB20BE"/>
    <w:rsid w:val="00DF023F"/>
    <w:rsid w:val="00E46574"/>
    <w:rsid w:val="00F31684"/>
    <w:rsid w:val="00F4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33E8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34D10A90914735A32DBECB7B44A8ED">
    <w:name w:val="5E34D10A90914735A32DBECB7B44A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W2DYDCZSR3KP-599401305-18753</_dlc_DocId>
    <_dlc_DocIdUrl xmlns="d9320a93-a9f0-4135-97e0-380ac3311a04">
      <Url>https://sitesreservoirproject.sharepoint.com/EnvPlanning/_layouts/15/DocIdRedir.aspx?ID=W2DYDCZSR3KP-599401305-18753</Url>
      <Description>W2DYDCZSR3KP-599401305-18753</Description>
    </_dlc_DocIdUrl>
    <_dlc_DocIdPersistId xmlns="d9320a93-a9f0-4135-97e0-380ac3311a04">false</_dlc_DocIdPersistId>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2D3AC-48DF-40A3-A574-7955998C2B70}">
  <ds:schemaRefs>
    <ds:schemaRef ds:uri="http://schemas.microsoft.com/sharepoint/v3/contenttype/forms"/>
  </ds:schemaRefs>
</ds:datastoreItem>
</file>

<file path=customXml/itemProps2.xml><?xml version="1.0" encoding="utf-8"?>
<ds:datastoreItem xmlns:ds="http://schemas.openxmlformats.org/officeDocument/2006/customXml" ds:itemID="{F0CFCE8F-7F43-43A1-9B4E-556EFFB9CB3C}">
  <ds:schemaRefs>
    <ds:schemaRef ds:uri="http://schemas.microsoft.com/sharepoint/events"/>
  </ds:schemaRefs>
</ds:datastoreItem>
</file>

<file path=customXml/itemProps3.xml><?xml version="1.0" encoding="utf-8"?>
<ds:datastoreItem xmlns:ds="http://schemas.openxmlformats.org/officeDocument/2006/customXml" ds:itemID="{6A76865A-8992-475B-949A-32F20608FC0A}">
  <ds:schemaRefs>
    <ds:schemaRef ds:uri="http://schemas.openxmlformats.org/officeDocument/2006/bibliography"/>
  </ds:schemaRefs>
</ds:datastoreItem>
</file>

<file path=customXml/itemProps4.xml><?xml version="1.0" encoding="utf-8"?>
<ds:datastoreItem xmlns:ds="http://schemas.openxmlformats.org/officeDocument/2006/customXml" ds:itemID="{F0D21775-D88C-4BA9-8280-19222D87AE32}">
  <ds:schemaRefs>
    <ds:schemaRef ds:uri="http://schemas.microsoft.com/office/2006/metadata/properties"/>
    <ds:schemaRef ds:uri="http://schemas.microsoft.com/office/infopath/2007/PartnerControls"/>
    <ds:schemaRef ds:uri="d9320a93-a9f0-4135-97e0-380ac3311a04"/>
  </ds:schemaRefs>
</ds:datastoreItem>
</file>

<file path=customXml/itemProps5.xml><?xml version="1.0" encoding="utf-8"?>
<ds:datastoreItem xmlns:ds="http://schemas.openxmlformats.org/officeDocument/2006/customXml" ds:itemID="{ED249DB4-DA52-4EEA-BCC2-A7C1B02C2462}"/>
</file>

<file path=docProps/app.xml><?xml version="1.0" encoding="utf-8"?>
<Properties xmlns="http://schemas.openxmlformats.org/officeDocument/2006/extended-properties" xmlns:vt="http://schemas.openxmlformats.org/officeDocument/2006/docPropsVTypes">
  <Template>Normal.dotm</Template>
  <TotalTime>13</TotalTime>
  <Pages>9</Pages>
  <Words>4557</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MWH</Company>
  <LinksUpToDate>false</LinksUpToDate>
  <CharactersWithSpaces>30472</CharactersWithSpaces>
  <SharedDoc>false</SharedDoc>
  <HLinks>
    <vt:vector size="24" baseType="variant">
      <vt:variant>
        <vt:i4>131081</vt:i4>
      </vt:variant>
      <vt:variant>
        <vt:i4>6</vt:i4>
      </vt:variant>
      <vt:variant>
        <vt:i4>0</vt:i4>
      </vt:variant>
      <vt:variant>
        <vt:i4>5</vt:i4>
      </vt:variant>
      <vt:variant>
        <vt:lpwstr>https://sitesproject.org/revised-draft-environmental-impact-report-supplemental-draft-environmental-impact-statement/</vt:lpwstr>
      </vt:variant>
      <vt:variant>
        <vt:lpwstr/>
      </vt:variant>
      <vt:variant>
        <vt:i4>4718676</vt:i4>
      </vt:variant>
      <vt:variant>
        <vt:i4>3</vt:i4>
      </vt:variant>
      <vt:variant>
        <vt:i4>0</vt:i4>
      </vt:variant>
      <vt:variant>
        <vt:i4>5</vt:i4>
      </vt:variant>
      <vt:variant>
        <vt:lpwstr>https://doi.org/10.1002/ecs2.3498</vt:lpwstr>
      </vt:variant>
      <vt:variant>
        <vt:lpwstr/>
      </vt:variant>
      <vt:variant>
        <vt:i4>2162810</vt:i4>
      </vt:variant>
      <vt:variant>
        <vt:i4>0</vt:i4>
      </vt:variant>
      <vt:variant>
        <vt:i4>0</vt:i4>
      </vt:variant>
      <vt:variant>
        <vt:i4>5</vt:i4>
      </vt:variant>
      <vt:variant>
        <vt:lpwstr>https://doi.org/10.1002/NAFM.10748</vt:lpwstr>
      </vt:variant>
      <vt:variant>
        <vt:lpwstr/>
      </vt:variant>
      <vt:variant>
        <vt:i4>8192022</vt:i4>
      </vt:variant>
      <vt:variant>
        <vt:i4>0</vt:i4>
      </vt:variant>
      <vt:variant>
        <vt:i4>0</vt:i4>
      </vt:variant>
      <vt:variant>
        <vt:i4>5</vt:i4>
      </vt:variant>
      <vt:variant>
        <vt:lpwstr>mailto:Jason.Hassrick@icf.com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Heydinger, Erin</dc:creator>
  <cp:keywords/>
  <cp:lastModifiedBy>Spranza, John</cp:lastModifiedBy>
  <cp:revision>9</cp:revision>
  <cp:lastPrinted>2014-08-18T17:29:00Z</cp:lastPrinted>
  <dcterms:created xsi:type="dcterms:W3CDTF">2022-07-14T18:13:00Z</dcterms:created>
  <dcterms:modified xsi:type="dcterms:W3CDTF">2022-07-14T18:24:00Z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TemplateUrl">
    <vt:lpwstr/>
  </property>
  <property fmtid="{D5CDD505-2E9C-101B-9397-08002B2CF9AE}" pid="4" name="Order">
    <vt:r8>22900</vt:r8>
  </property>
  <property fmtid="{D5CDD505-2E9C-101B-9397-08002B2CF9AE}" pid="5" name="xd_Signature">
    <vt:bool>false</vt:bool>
  </property>
  <property fmtid="{D5CDD505-2E9C-101B-9397-08002B2CF9AE}" pid="6" name="xd_ProgID">
    <vt:lpwstr/>
  </property>
  <property fmtid="{D5CDD505-2E9C-101B-9397-08002B2CF9AE}" pid="7" name="WorkflowChangePath">
    <vt:lpwstr>a3ae1275-9c58-43b3-b870-e28b5e3a30ba,3;</vt:lpwstr>
  </property>
  <property fmtid="{D5CDD505-2E9C-101B-9397-08002B2CF9AE}" pid="8" name="_dlc_DocIdItemGuid">
    <vt:lpwstr>fbcf7a2c-bae3-4c02-8617-8da68d147a67</vt:lpwstr>
  </property>
  <property fmtid="{D5CDD505-2E9C-101B-9397-08002B2CF9AE}" pid="9" name="TaxKeyword">
    <vt:lpwstr/>
  </property>
  <property fmtid="{D5CDD505-2E9C-101B-9397-08002B2CF9AE}" pid="10" name="TaxCatchAll">
    <vt:lpwstr/>
  </property>
  <property fmtid="{D5CDD505-2E9C-101B-9397-08002B2CF9AE}" pid="11" name="TaxKeywordTaxHTField">
    <vt:lpwstr/>
  </property>
  <property fmtid="{D5CDD505-2E9C-101B-9397-08002B2CF9AE}" pid="12" name="Projects">
    <vt:lpwstr>26</vt:lpwstr>
  </property>
  <property fmtid="{D5CDD505-2E9C-101B-9397-08002B2CF9AE}" pid="13" name="Subtasks">
    <vt:lpwstr>1</vt:lpwstr>
  </property>
  <property fmtid="{D5CDD505-2E9C-101B-9397-08002B2CF9AE}" pid="14" name="YYYYMMDD">
    <vt:lpwstr>20180124</vt:lpwstr>
  </property>
  <property fmtid="{D5CDD505-2E9C-101B-9397-08002B2CF9AE}" pid="15" name="_dlc_DocId">
    <vt:lpwstr>6MXWDZY23MA2-4-329</vt:lpwstr>
  </property>
  <property fmtid="{D5CDD505-2E9C-101B-9397-08002B2CF9AE}" pid="16" name="Status">
    <vt:lpwstr>1st Draft</vt:lpwstr>
  </property>
  <property fmtid="{D5CDD505-2E9C-101B-9397-08002B2CF9AE}" pid="17" name="Type of Document">
    <vt:lpwstr>Template</vt:lpwstr>
  </property>
  <property fmtid="{D5CDD505-2E9C-101B-9397-08002B2CF9AE}" pid="18" name="Tasks">
    <vt:lpwstr>55</vt:lpwstr>
  </property>
  <property fmtid="{D5CDD505-2E9C-101B-9397-08002B2CF9AE}" pid="19" name="Author0">
    <vt:lpwstr>25;#Erin Heydinger</vt:lpwstr>
  </property>
  <property fmtid="{D5CDD505-2E9C-101B-9397-08002B2CF9AE}" pid="20" name="_dlc_DocIdUrl">
    <vt:lpwstr>https://santacruzwater.sharepoint.com/sites/cosc/_layouts/15/DocIdRedir.aspx?ID=6MXWDZY23MA2-4-329, 6MXWDZY23MA2-4-329</vt:lpwstr>
  </property>
  <property fmtid="{D5CDD505-2E9C-101B-9397-08002B2CF9AE}" pid="21" name="AuthorIds_UIVersion_2048">
    <vt:lpwstr>37</vt:lpwstr>
  </property>
  <property fmtid="{D5CDD505-2E9C-101B-9397-08002B2CF9AE}" pid="22" name="AuthorIds_UIVersion_2560">
    <vt:lpwstr>37</vt:lpwstr>
  </property>
  <property fmtid="{D5CDD505-2E9C-101B-9397-08002B2CF9AE}" pid="23" name="ComplianceAssetId">
    <vt:lpwstr/>
  </property>
</Properties>
</file>